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0AE" w:rsidRDefault="004915A2" w:rsidP="004915A2">
      <w:pPr>
        <w:suppressLineNumbers/>
        <w:jc w:val="center"/>
        <w:rPr>
          <w:rtl/>
        </w:rPr>
      </w:pPr>
      <w:r>
        <w:rPr>
          <w:rFonts w:cs="FrankRuehl"/>
          <w:sz w:val="28"/>
          <w:szCs w:val="28"/>
        </w:rPr>
        <w:drawing>
          <wp:inline distT="0" distB="0" distL="0" distR="0" wp14:anchorId="797B24B0" wp14:editId="043B680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4915A2" w:rsidRDefault="004915A2" w:rsidP="004915A2">
      <w:pPr>
        <w:suppressLineNumbers/>
        <w:jc w:val="center"/>
        <w:rPr>
          <w:rtl/>
        </w:rPr>
      </w:pPr>
    </w:p>
    <w:sdt>
      <w:sdtPr>
        <w:rPr>
          <w:rFonts w:ascii="Tahoma" w:hAnsi="Tahoma"/>
          <w:color w:val="000080"/>
          <w:sz w:val="32"/>
          <w:szCs w:val="32"/>
          <w:rtl/>
        </w:rPr>
        <w:alias w:val="1174"/>
        <w:tag w:val="1174"/>
        <w:id w:val="-1585920285"/>
        <w:text w:multiLine="1"/>
      </w:sdtPr>
      <w:sdtEndPr/>
      <w:sdtContent>
        <w:p w:rsidR="004915A2" w:rsidRDefault="004915A2" w:rsidP="004915A2">
          <w:pPr>
            <w:suppressLineNumbers/>
            <w:jc w:val="center"/>
            <w:rPr>
              <w:rtl/>
            </w:rPr>
          </w:pPr>
          <w:r w:rsidRPr="00F038D8">
            <w:rPr>
              <w:rFonts w:ascii="Tahoma" w:hAnsi="Tahoma"/>
              <w:color w:val="000080"/>
              <w:sz w:val="32"/>
              <w:szCs w:val="32"/>
              <w:rtl/>
            </w:rPr>
            <w:t>בית המשפט המחוזי בבאר שבע</w:t>
          </w:r>
        </w:p>
      </w:sdtContent>
    </w:sdt>
    <w:p w:rsidR="004915A2" w:rsidRDefault="004915A2" w:rsidP="00A750AE">
      <w:pPr>
        <w:suppressLineNumbers/>
        <w:rPr>
          <w:rtl/>
        </w:rPr>
      </w:pPr>
    </w:p>
    <w:p w:rsidR="004915A2" w:rsidRDefault="004915A2" w:rsidP="00A750AE">
      <w:pPr>
        <w:suppressLineNumbers/>
        <w:rPr>
          <w:rtl/>
        </w:rPr>
      </w:pPr>
    </w:p>
    <w:p w:rsidR="004915A2" w:rsidRDefault="004915A2" w:rsidP="00A750AE">
      <w:pPr>
        <w:suppressLineNumbers/>
        <w:rPr>
          <w:rtl/>
        </w:rPr>
      </w:pPr>
    </w:p>
    <w:p w:rsidR="004915A2" w:rsidRDefault="004915A2" w:rsidP="00A750AE">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99"/>
        <w:gridCol w:w="2487"/>
        <w:gridCol w:w="5534"/>
      </w:tblGrid>
      <w:tr w:rsidR="00A750AE" w:rsidTr="00836D56">
        <w:trPr>
          <w:jc w:val="center"/>
        </w:trPr>
        <w:tc>
          <w:tcPr>
            <w:tcW w:w="743" w:type="dxa"/>
            <w:hideMark/>
          </w:tcPr>
          <w:p w:rsidR="004915A2" w:rsidRDefault="004915A2" w:rsidP="00836D56">
            <w:pPr>
              <w:suppressLineNumbers/>
              <w:jc w:val="both"/>
              <w:rPr>
                <w:rFonts w:ascii="Arial" w:hAnsi="Arial"/>
                <w:b/>
                <w:bCs/>
                <w:sz w:val="26"/>
                <w:szCs w:val="26"/>
                <w:rtl/>
              </w:rPr>
            </w:pPr>
            <w:bookmarkStart w:id="0" w:name="NGCSBookmark"/>
            <w:bookmarkEnd w:id="0"/>
            <w:r>
              <w:rPr>
                <w:rFonts w:ascii="Arial" w:hAnsi="Arial" w:hint="cs"/>
                <w:b/>
                <w:bCs/>
                <w:sz w:val="26"/>
                <w:szCs w:val="26"/>
                <w:rtl/>
              </w:rPr>
              <w:t xml:space="preserve">רמ"ש </w:t>
            </w:r>
          </w:p>
          <w:p w:rsidR="004915A2" w:rsidRDefault="004915A2" w:rsidP="00836D56">
            <w:pPr>
              <w:suppressLineNumbers/>
              <w:jc w:val="both"/>
              <w:rPr>
                <w:rFonts w:ascii="Arial" w:hAnsi="Arial"/>
                <w:b/>
                <w:bCs/>
                <w:sz w:val="26"/>
                <w:szCs w:val="26"/>
                <w:rtl/>
              </w:rPr>
            </w:pPr>
          </w:p>
          <w:p w:rsidR="004915A2" w:rsidRDefault="004915A2" w:rsidP="00836D56">
            <w:pPr>
              <w:suppressLineNumbers/>
              <w:jc w:val="both"/>
              <w:rPr>
                <w:rFonts w:ascii="Arial" w:hAnsi="Arial"/>
                <w:b/>
                <w:bCs/>
                <w:sz w:val="26"/>
                <w:szCs w:val="26"/>
                <w:rtl/>
              </w:rPr>
            </w:pPr>
          </w:p>
          <w:p w:rsidR="004915A2" w:rsidRDefault="004915A2" w:rsidP="00836D56">
            <w:pPr>
              <w:suppressLineNumbers/>
              <w:jc w:val="both"/>
              <w:rPr>
                <w:rFonts w:ascii="Arial" w:hAnsi="Arial"/>
                <w:b/>
                <w:bCs/>
                <w:sz w:val="26"/>
                <w:szCs w:val="26"/>
                <w:rtl/>
              </w:rPr>
            </w:pPr>
          </w:p>
          <w:p w:rsidR="00A750AE" w:rsidRDefault="00A750AE" w:rsidP="00836D56">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4915A2" w:rsidRDefault="004915A2" w:rsidP="00836D56">
            <w:pPr>
              <w:suppressLineNumbers/>
              <w:rPr>
                <w:rFonts w:ascii="Arial" w:hAnsi="Arial"/>
                <w:b/>
                <w:bCs/>
                <w:sz w:val="26"/>
                <w:szCs w:val="26"/>
                <w:rtl/>
              </w:rPr>
            </w:pPr>
            <w:r>
              <w:rPr>
                <w:rFonts w:ascii="Arial" w:hAnsi="Arial" w:hint="cs"/>
                <w:b/>
                <w:bCs/>
                <w:sz w:val="26"/>
                <w:szCs w:val="26"/>
                <w:rtl/>
              </w:rPr>
              <w:t xml:space="preserve">2615-06-24 פלוני נ' פלונית </w:t>
            </w:r>
          </w:p>
          <w:p w:rsidR="004915A2" w:rsidRDefault="004915A2" w:rsidP="00836D56">
            <w:pPr>
              <w:suppressLineNumbers/>
              <w:rPr>
                <w:rFonts w:ascii="Arial" w:hAnsi="Arial"/>
                <w:b/>
                <w:bCs/>
                <w:sz w:val="26"/>
                <w:szCs w:val="26"/>
                <w:rtl/>
              </w:rPr>
            </w:pPr>
          </w:p>
          <w:p w:rsidR="004915A2" w:rsidRDefault="004915A2" w:rsidP="00836D56">
            <w:pPr>
              <w:suppressLineNumbers/>
              <w:rPr>
                <w:rFonts w:ascii="Arial" w:hAnsi="Arial"/>
                <w:b/>
                <w:bCs/>
                <w:sz w:val="26"/>
                <w:szCs w:val="26"/>
                <w:rtl/>
              </w:rPr>
            </w:pPr>
          </w:p>
          <w:p w:rsidR="004915A2" w:rsidRDefault="004915A2" w:rsidP="00836D56">
            <w:pPr>
              <w:suppressLineNumbers/>
              <w:rPr>
                <w:rFonts w:ascii="Arial" w:hAnsi="Arial"/>
                <w:b/>
                <w:bCs/>
                <w:sz w:val="26"/>
                <w:szCs w:val="26"/>
                <w:rtl/>
              </w:rPr>
            </w:pPr>
          </w:p>
          <w:p w:rsidR="00A750AE" w:rsidRDefault="00A750AE" w:rsidP="00836D56">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1006360426"/>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354463801"/>
                <w:text w:multiLine="1"/>
              </w:sdtPr>
              <w:sdtEndPr/>
              <w:sdtContent>
                <w:r>
                  <w:rPr>
                    <w:rFonts w:ascii="Arial" w:hAnsi="Arial"/>
                    <w:b/>
                    <w:bCs/>
                    <w:sz w:val="26"/>
                    <w:szCs w:val="26"/>
                    <w:rtl/>
                  </w:rPr>
                  <w:t>פאני גילת כהן</w:t>
                </w:r>
              </w:sdtContent>
            </w:sdt>
          </w:p>
          <w:p w:rsidR="00A750AE" w:rsidRDefault="00A750AE" w:rsidP="00836D56">
            <w:pPr>
              <w:suppressLineNumbers/>
              <w:jc w:val="right"/>
              <w:rPr>
                <w:sz w:val="26"/>
                <w:szCs w:val="26"/>
                <w:rtl/>
              </w:rPr>
            </w:pPr>
          </w:p>
        </w:tc>
      </w:tr>
      <w:tr w:rsidR="00A750AE" w:rsidTr="00836D56">
        <w:trPr>
          <w:jc w:val="center"/>
        </w:trPr>
        <w:tc>
          <w:tcPr>
            <w:tcW w:w="3249" w:type="dxa"/>
            <w:gridSpan w:val="2"/>
          </w:tcPr>
          <w:p w:rsidR="00A750AE" w:rsidRDefault="00A750AE" w:rsidP="00836D56">
            <w:pPr>
              <w:suppressLineNumbers/>
              <w:jc w:val="right"/>
              <w:rPr>
                <w:rtl/>
              </w:rPr>
            </w:pPr>
          </w:p>
          <w:sdt>
            <w:sdtPr>
              <w:rPr>
                <w:rtl/>
              </w:rPr>
              <w:alias w:val="1180"/>
              <w:tag w:val="1180"/>
              <w:id w:val="941497221"/>
              <w:text w:multiLine="1"/>
            </w:sdtPr>
            <w:sdtEndPr/>
            <w:sdtContent>
              <w:p w:rsidR="00A750AE" w:rsidRDefault="00A750AE" w:rsidP="00836D56">
                <w:pPr>
                  <w:suppressLineNumbers/>
                  <w:rPr>
                    <w:rFonts w:ascii="Arial" w:hAnsi="Arial"/>
                    <w:b/>
                    <w:bCs/>
                    <w:noProof w:val="0"/>
                    <w:sz w:val="26"/>
                    <w:szCs w:val="26"/>
                    <w:rtl/>
                  </w:rPr>
                </w:pPr>
                <w:r>
                  <w:rPr>
                    <w:rFonts w:ascii="Arial" w:hAnsi="Arial"/>
                    <w:b/>
                    <w:bCs/>
                    <w:noProof w:val="0"/>
                    <w:sz w:val="26"/>
                    <w:szCs w:val="26"/>
                    <w:rtl/>
                  </w:rPr>
                  <w:t>המבקש</w:t>
                </w:r>
              </w:p>
            </w:sdtContent>
          </w:sdt>
        </w:tc>
        <w:tc>
          <w:tcPr>
            <w:tcW w:w="5571" w:type="dxa"/>
          </w:tcPr>
          <w:p w:rsidR="00A750AE" w:rsidRDefault="00A750AE" w:rsidP="00836D56">
            <w:pPr>
              <w:suppressLineNumbers/>
              <w:jc w:val="right"/>
            </w:pPr>
          </w:p>
          <w:p w:rsidR="00A750AE" w:rsidRDefault="00CC2F09" w:rsidP="00A750AE">
            <w:pPr>
              <w:suppressLineNumbers/>
              <w:rPr>
                <w:b/>
                <w:bCs/>
                <w:noProof w:val="0"/>
                <w:sz w:val="26"/>
                <w:szCs w:val="26"/>
                <w:rtl/>
              </w:rPr>
            </w:pPr>
            <w:sdt>
              <w:sdtPr>
                <w:rPr>
                  <w:rFonts w:ascii="Arial" w:hAnsi="Arial"/>
                  <w:b/>
                  <w:bCs/>
                  <w:noProof w:val="0"/>
                  <w:sz w:val="26"/>
                  <w:szCs w:val="26"/>
                  <w:rtl/>
                </w:rPr>
                <w:alias w:val="3151"/>
                <w:tag w:val="3151"/>
                <w:id w:val="330265452"/>
                <w:placeholder>
                  <w:docPart w:val="0E50EB6E39FF4D748BB70E43369A97A9"/>
                </w:placeholder>
                <w:text w:multiLine="1"/>
              </w:sdtPr>
              <w:sdtEndPr/>
              <w:sdtContent>
                <w:r w:rsidR="00A750AE">
                  <w:rPr>
                    <w:rFonts w:ascii="Arial" w:hAnsi="Arial" w:hint="cs"/>
                    <w:b/>
                    <w:bCs/>
                    <w:noProof w:val="0"/>
                    <w:sz w:val="26"/>
                    <w:szCs w:val="26"/>
                    <w:rtl/>
                  </w:rPr>
                  <w:t>פלוני</w:t>
                </w:r>
                <w:r w:rsidR="00A750AE">
                  <w:rPr>
                    <w:rFonts w:ascii="Arial" w:hAnsi="Arial"/>
                    <w:b/>
                    <w:bCs/>
                    <w:noProof w:val="0"/>
                    <w:sz w:val="26"/>
                    <w:szCs w:val="26"/>
                    <w:rtl/>
                  </w:rPr>
                  <w:br/>
                  <w:t xml:space="preserve">באמצעות ב"כ עו"ד ד"ר שרון </w:t>
                </w:r>
                <w:proofErr w:type="spellStart"/>
                <w:r w:rsidR="00A750AE">
                  <w:rPr>
                    <w:rFonts w:ascii="Arial" w:hAnsi="Arial"/>
                    <w:b/>
                    <w:bCs/>
                    <w:noProof w:val="0"/>
                    <w:sz w:val="26"/>
                    <w:szCs w:val="26"/>
                    <w:rtl/>
                  </w:rPr>
                  <w:t>פרילינג</w:t>
                </w:r>
                <w:proofErr w:type="spellEnd"/>
              </w:sdtContent>
            </w:sdt>
          </w:p>
        </w:tc>
      </w:tr>
      <w:tr w:rsidR="00A750AE" w:rsidTr="00836D56">
        <w:trPr>
          <w:jc w:val="center"/>
        </w:trPr>
        <w:tc>
          <w:tcPr>
            <w:tcW w:w="8820" w:type="dxa"/>
            <w:gridSpan w:val="3"/>
          </w:tcPr>
          <w:p w:rsidR="00A750AE" w:rsidRDefault="00A750AE" w:rsidP="00836D56">
            <w:pPr>
              <w:suppressLineNumbers/>
              <w:jc w:val="right"/>
              <w:rPr>
                <w:rFonts w:ascii="Arial" w:hAnsi="Arial"/>
                <w:b/>
                <w:bCs/>
                <w:noProof w:val="0"/>
                <w:sz w:val="26"/>
                <w:szCs w:val="26"/>
                <w:rtl/>
              </w:rPr>
            </w:pPr>
          </w:p>
          <w:p w:rsidR="00A750AE" w:rsidRDefault="00A750AE" w:rsidP="00836D56">
            <w:pPr>
              <w:suppressLineNumbers/>
              <w:jc w:val="center"/>
              <w:rPr>
                <w:rFonts w:ascii="Arial" w:hAnsi="Arial"/>
                <w:b/>
                <w:bCs/>
                <w:noProof w:val="0"/>
                <w:sz w:val="26"/>
                <w:szCs w:val="26"/>
                <w:rtl/>
              </w:rPr>
            </w:pPr>
          </w:p>
          <w:p w:rsidR="00A750AE" w:rsidRDefault="00A750AE" w:rsidP="00836D56">
            <w:pPr>
              <w:suppressLineNumbers/>
              <w:jc w:val="right"/>
              <w:rPr>
                <w:rFonts w:ascii="Arial" w:hAnsi="Arial"/>
                <w:b/>
                <w:bCs/>
                <w:noProof w:val="0"/>
                <w:sz w:val="26"/>
                <w:szCs w:val="26"/>
              </w:rPr>
            </w:pPr>
          </w:p>
        </w:tc>
      </w:tr>
      <w:tr w:rsidR="00A750AE" w:rsidTr="00836D56">
        <w:trPr>
          <w:jc w:val="center"/>
        </w:trPr>
        <w:tc>
          <w:tcPr>
            <w:tcW w:w="3249" w:type="dxa"/>
            <w:gridSpan w:val="2"/>
            <w:hideMark/>
          </w:tcPr>
          <w:p w:rsidR="00A750AE" w:rsidRDefault="00CC2F09" w:rsidP="00836D56">
            <w:pPr>
              <w:suppressLineNumbers/>
              <w:rPr>
                <w:rFonts w:ascii="Arial" w:hAnsi="Arial"/>
                <w:b/>
                <w:bCs/>
                <w:noProof w:val="0"/>
                <w:sz w:val="26"/>
                <w:szCs w:val="26"/>
                <w:rtl/>
              </w:rPr>
            </w:pPr>
            <w:sdt>
              <w:sdtPr>
                <w:rPr>
                  <w:rtl/>
                </w:rPr>
                <w:alias w:val="1184"/>
                <w:tag w:val="1184"/>
                <w:id w:val="1362324671"/>
                <w:text w:multiLine="1"/>
              </w:sdtPr>
              <w:sdtEndPr/>
              <w:sdtContent>
                <w:r w:rsidR="00A750AE">
                  <w:rPr>
                    <w:rFonts w:ascii="Arial" w:hAnsi="Arial"/>
                    <w:b/>
                    <w:bCs/>
                    <w:noProof w:val="0"/>
                    <w:sz w:val="26"/>
                    <w:szCs w:val="26"/>
                    <w:rtl/>
                  </w:rPr>
                  <w:t>המשיבה</w:t>
                </w:r>
              </w:sdtContent>
            </w:sdt>
          </w:p>
        </w:tc>
        <w:tc>
          <w:tcPr>
            <w:tcW w:w="5571" w:type="dxa"/>
            <w:hideMark/>
          </w:tcPr>
          <w:p w:rsidR="00A750AE" w:rsidRDefault="00CC2F09" w:rsidP="00A750AE">
            <w:pPr>
              <w:suppressLineNumbers/>
              <w:rPr>
                <w:rFonts w:ascii="Arial" w:hAnsi="Arial"/>
                <w:b/>
                <w:bCs/>
                <w:noProof w:val="0"/>
                <w:sz w:val="26"/>
                <w:szCs w:val="26"/>
                <w:rtl/>
              </w:rPr>
            </w:pPr>
            <w:sdt>
              <w:sdtPr>
                <w:rPr>
                  <w:rFonts w:ascii="Arial" w:hAnsi="Arial"/>
                  <w:b/>
                  <w:bCs/>
                  <w:noProof w:val="0"/>
                  <w:sz w:val="26"/>
                  <w:szCs w:val="26"/>
                  <w:rtl/>
                </w:rPr>
                <w:alias w:val="3152"/>
                <w:tag w:val="3152"/>
                <w:id w:val="671838141"/>
                <w:placeholder>
                  <w:docPart w:val="CE58051DBD7842968A217DA2195CBA70"/>
                </w:placeholder>
                <w:text w:multiLine="1"/>
              </w:sdtPr>
              <w:sdtEndPr/>
              <w:sdtContent>
                <w:r w:rsidR="00A750AE">
                  <w:rPr>
                    <w:rFonts w:ascii="Arial" w:hAnsi="Arial" w:hint="cs"/>
                    <w:b/>
                    <w:bCs/>
                    <w:noProof w:val="0"/>
                    <w:sz w:val="26"/>
                    <w:szCs w:val="26"/>
                    <w:rtl/>
                  </w:rPr>
                  <w:t>פלונית</w:t>
                </w:r>
                <w:r w:rsidR="00A750AE">
                  <w:rPr>
                    <w:rFonts w:ascii="Arial" w:hAnsi="Arial"/>
                    <w:b/>
                    <w:bCs/>
                    <w:noProof w:val="0"/>
                    <w:sz w:val="26"/>
                    <w:szCs w:val="26"/>
                    <w:rtl/>
                  </w:rPr>
                  <w:br/>
                  <w:t xml:space="preserve">באמצעות ב"כ עו"ד אופק </w:t>
                </w:r>
                <w:proofErr w:type="spellStart"/>
                <w:r w:rsidR="00A750AE">
                  <w:rPr>
                    <w:rFonts w:ascii="Arial" w:hAnsi="Arial"/>
                    <w:b/>
                    <w:bCs/>
                    <w:noProof w:val="0"/>
                    <w:sz w:val="26"/>
                    <w:szCs w:val="26"/>
                    <w:rtl/>
                  </w:rPr>
                  <w:t>בלאיש</w:t>
                </w:r>
                <w:proofErr w:type="spellEnd"/>
                <w:r w:rsidR="00A750AE">
                  <w:rPr>
                    <w:rFonts w:ascii="Arial" w:hAnsi="Arial"/>
                    <w:b/>
                    <w:bCs/>
                    <w:noProof w:val="0"/>
                    <w:sz w:val="26"/>
                    <w:szCs w:val="26"/>
                    <w:rtl/>
                  </w:rPr>
                  <w:t xml:space="preserve"> </w:t>
                </w:r>
              </w:sdtContent>
            </w:sdt>
          </w:p>
        </w:tc>
      </w:tr>
      <w:tr w:rsidR="00A750AE" w:rsidTr="00836D56">
        <w:trPr>
          <w:jc w:val="center"/>
        </w:trPr>
        <w:tc>
          <w:tcPr>
            <w:tcW w:w="8820" w:type="dxa"/>
            <w:gridSpan w:val="3"/>
          </w:tcPr>
          <w:p w:rsidR="00A750AE" w:rsidRDefault="00A750AE" w:rsidP="00836D56">
            <w:pPr>
              <w:suppressLineNumbers/>
              <w:jc w:val="right"/>
            </w:pPr>
          </w:p>
        </w:tc>
      </w:tr>
      <w:tr w:rsidR="00A750AE" w:rsidTr="00836D56">
        <w:trPr>
          <w:trHeight w:val="143"/>
          <w:jc w:val="center"/>
        </w:trPr>
        <w:tc>
          <w:tcPr>
            <w:tcW w:w="3249" w:type="dxa"/>
            <w:gridSpan w:val="2"/>
          </w:tcPr>
          <w:p w:rsidR="00A750AE" w:rsidRDefault="00A750AE" w:rsidP="00836D56">
            <w:pPr>
              <w:jc w:val="right"/>
              <w:rPr>
                <w:rFonts w:ascii="David" w:eastAsia="David" w:hAnsi="David"/>
                <w:b/>
                <w:bCs/>
                <w:noProof w:val="0"/>
              </w:rPr>
            </w:pPr>
          </w:p>
        </w:tc>
        <w:tc>
          <w:tcPr>
            <w:tcW w:w="5571" w:type="dxa"/>
          </w:tcPr>
          <w:p w:rsidR="00A750AE" w:rsidRDefault="00A750AE" w:rsidP="00836D56">
            <w:pPr>
              <w:jc w:val="right"/>
              <w:rPr>
                <w:b/>
                <w:bCs/>
                <w:sz w:val="26"/>
                <w:szCs w:val="26"/>
                <w:rtl/>
              </w:rPr>
            </w:pPr>
          </w:p>
        </w:tc>
      </w:tr>
      <w:tr w:rsidR="00A750AE" w:rsidTr="00836D56">
        <w:trPr>
          <w:jc w:val="center"/>
        </w:trPr>
        <w:tc>
          <w:tcPr>
            <w:tcW w:w="8820" w:type="dxa"/>
            <w:gridSpan w:val="3"/>
          </w:tcPr>
          <w:p w:rsidR="00A750AE" w:rsidRDefault="00A750AE" w:rsidP="00836D56">
            <w:pPr>
              <w:suppressLineNumbers/>
              <w:jc w:val="right"/>
              <w:rPr>
                <w:rFonts w:ascii="Arial" w:hAnsi="Arial"/>
                <w:b/>
                <w:bCs/>
                <w:noProof w:val="0"/>
                <w:sz w:val="26"/>
                <w:szCs w:val="26"/>
                <w:rtl/>
              </w:rPr>
            </w:pPr>
          </w:p>
        </w:tc>
      </w:tr>
      <w:tr w:rsidR="00A750AE" w:rsidTr="00836D56">
        <w:trPr>
          <w:jc w:val="center"/>
        </w:trPr>
        <w:tc>
          <w:tcPr>
            <w:tcW w:w="8820" w:type="dxa"/>
            <w:gridSpan w:val="3"/>
          </w:tcPr>
          <w:p w:rsidR="00A750AE" w:rsidRDefault="00A750AE" w:rsidP="00836D56">
            <w:pPr>
              <w:bidi w:val="0"/>
              <w:jc w:val="center"/>
              <w:rPr>
                <w:rFonts w:ascii="Arial" w:hAnsi="Arial"/>
                <w:b/>
                <w:bCs/>
                <w:noProof w:val="0"/>
                <w:sz w:val="32"/>
                <w:szCs w:val="32"/>
                <w:u w:val="single"/>
              </w:rPr>
            </w:pPr>
            <w:r>
              <w:rPr>
                <w:rFonts w:ascii="Arial" w:hAnsi="Arial"/>
                <w:b/>
                <w:bCs/>
                <w:noProof w:val="0"/>
                <w:sz w:val="32"/>
                <w:szCs w:val="32"/>
                <w:u w:val="single"/>
                <w:rtl/>
              </w:rPr>
              <w:t>החלטה</w:t>
            </w:r>
          </w:p>
          <w:p w:rsidR="00A750AE" w:rsidRDefault="00A750AE" w:rsidP="00836D56">
            <w:pPr>
              <w:bidi w:val="0"/>
              <w:jc w:val="center"/>
              <w:rPr>
                <w:rFonts w:ascii="Arial" w:hAnsi="Arial"/>
                <w:b/>
                <w:bCs/>
                <w:noProof w:val="0"/>
                <w:sz w:val="28"/>
                <w:szCs w:val="28"/>
                <w:u w:val="single"/>
                <w:rtl/>
              </w:rPr>
            </w:pPr>
          </w:p>
        </w:tc>
      </w:tr>
    </w:tbl>
    <w:p w:rsidR="00A750AE" w:rsidRDefault="00A750AE" w:rsidP="00A750AE">
      <w:pPr>
        <w:spacing w:line="360" w:lineRule="auto"/>
        <w:jc w:val="both"/>
        <w:rPr>
          <w:rFonts w:ascii="Arial" w:hAnsi="Arial"/>
          <w:noProof w:val="0"/>
          <w:rtl/>
        </w:rPr>
      </w:pPr>
    </w:p>
    <w:p w:rsidR="00A750AE" w:rsidRDefault="00A750AE" w:rsidP="004915A2">
      <w:pPr>
        <w:spacing w:line="360" w:lineRule="auto"/>
        <w:jc w:val="both"/>
        <w:rPr>
          <w:rFonts w:ascii="Arial" w:hAnsi="Arial"/>
          <w:noProof w:val="0"/>
          <w:rtl/>
        </w:rPr>
      </w:pPr>
      <w:r>
        <w:rPr>
          <w:rFonts w:ascii="Arial" w:hAnsi="Arial" w:hint="cs"/>
          <w:noProof w:val="0"/>
          <w:rtl/>
        </w:rPr>
        <w:t>מ</w:t>
      </w:r>
      <w:r>
        <w:rPr>
          <w:rFonts w:ascii="Arial" w:hAnsi="Arial"/>
          <w:noProof w:val="0"/>
          <w:rtl/>
        </w:rPr>
        <w:t xml:space="preserve">ונחת לפניי בקשת רשות ערעור על החלטת בית המשפט לענייני משפחה באשדוד (כב' </w:t>
      </w:r>
      <w:proofErr w:type="spellStart"/>
      <w:r>
        <w:rPr>
          <w:rFonts w:ascii="Arial" w:hAnsi="Arial"/>
          <w:noProof w:val="0"/>
          <w:rtl/>
        </w:rPr>
        <w:t>סג"נ</w:t>
      </w:r>
      <w:proofErr w:type="spellEnd"/>
      <w:r>
        <w:rPr>
          <w:rFonts w:ascii="Arial" w:hAnsi="Arial"/>
          <w:noProof w:val="0"/>
          <w:rtl/>
        </w:rPr>
        <w:t>, השופטת ענת אלפסי) שניתנה בהליך רכושי המתנהל בין הצדדים על רקע פרידתם זה מזו  (</w:t>
      </w:r>
      <w:proofErr w:type="spellStart"/>
      <w:r>
        <w:rPr>
          <w:rFonts w:ascii="Arial" w:hAnsi="Arial"/>
          <w:noProof w:val="0"/>
          <w:rtl/>
        </w:rPr>
        <w:t>תלה"מ</w:t>
      </w:r>
      <w:proofErr w:type="spellEnd"/>
      <w:r>
        <w:rPr>
          <w:rFonts w:ascii="Arial" w:hAnsi="Arial"/>
          <w:noProof w:val="0"/>
          <w:rtl/>
        </w:rPr>
        <w:t xml:space="preserve"> 15700-02-22), בגדרה הורה בית המשפט על מינוי מומחים מטעמו להערכת שווי בית המגורים של הצדדים השוכן </w:t>
      </w:r>
      <w:r w:rsidR="004915A2">
        <w:rPr>
          <w:rFonts w:ascii="Arial" w:hAnsi="Arial" w:hint="cs"/>
          <w:noProof w:val="0"/>
          <w:rtl/>
        </w:rPr>
        <w:t>ב...</w:t>
      </w:r>
      <w:r>
        <w:rPr>
          <w:rFonts w:ascii="Arial" w:hAnsi="Arial"/>
          <w:noProof w:val="0"/>
          <w:rtl/>
        </w:rPr>
        <w:t xml:space="preserve"> (להלן: </w:t>
      </w:r>
      <w:r>
        <w:rPr>
          <w:rFonts w:ascii="Arial" w:hAnsi="Arial"/>
          <w:b/>
          <w:bCs/>
          <w:noProof w:val="0"/>
          <w:rtl/>
        </w:rPr>
        <w:t>"בית המגורים"</w:t>
      </w:r>
      <w:r>
        <w:rPr>
          <w:rFonts w:ascii="Arial" w:hAnsi="Arial"/>
          <w:noProof w:val="0"/>
          <w:rtl/>
        </w:rPr>
        <w:t xml:space="preserve">) ולמתן חוות דעת בעניין אופי עיסוקה של חברת </w:t>
      </w:r>
      <w:r w:rsidR="004915A2">
        <w:rPr>
          <w:rFonts w:ascii="Arial" w:hAnsi="Arial" w:hint="cs"/>
          <w:noProof w:val="0"/>
          <w:rtl/>
        </w:rPr>
        <w:t>...</w:t>
      </w:r>
      <w:r>
        <w:rPr>
          <w:rFonts w:ascii="Arial" w:hAnsi="Arial"/>
          <w:noProof w:val="0"/>
          <w:rtl/>
        </w:rPr>
        <w:t xml:space="preserve"> בע"מ (להלן: </w:t>
      </w:r>
      <w:r>
        <w:rPr>
          <w:rFonts w:ascii="Arial" w:hAnsi="Arial"/>
          <w:b/>
          <w:bCs/>
          <w:noProof w:val="0"/>
          <w:rtl/>
        </w:rPr>
        <w:t>"החברה"</w:t>
      </w:r>
      <w:r>
        <w:rPr>
          <w:rFonts w:ascii="Arial" w:hAnsi="Arial"/>
          <w:noProof w:val="0"/>
          <w:rtl/>
        </w:rPr>
        <w:t xml:space="preserve">) והיקף רווחיה והכנסות המבקש ממנה. </w:t>
      </w:r>
    </w:p>
    <w:p w:rsidR="00A750AE" w:rsidRDefault="00A750AE" w:rsidP="00A750AE">
      <w:pPr>
        <w:spacing w:line="360" w:lineRule="auto"/>
        <w:jc w:val="both"/>
        <w:rPr>
          <w:rFonts w:ascii="Arial" w:hAnsi="Arial"/>
          <w:noProof w:val="0"/>
          <w:rtl/>
        </w:rPr>
      </w:pPr>
    </w:p>
    <w:p w:rsidR="00A750AE" w:rsidRDefault="00A750AE" w:rsidP="00A750AE">
      <w:pPr>
        <w:spacing w:line="360" w:lineRule="auto"/>
        <w:jc w:val="both"/>
        <w:rPr>
          <w:rFonts w:ascii="Arial" w:hAnsi="Arial"/>
          <w:b/>
          <w:bCs/>
          <w:noProof w:val="0"/>
          <w:sz w:val="26"/>
          <w:szCs w:val="26"/>
          <w:u w:val="single"/>
        </w:rPr>
      </w:pPr>
      <w:r>
        <w:rPr>
          <w:rFonts w:ascii="Arial" w:hAnsi="Arial"/>
          <w:b/>
          <w:bCs/>
          <w:noProof w:val="0"/>
          <w:sz w:val="26"/>
          <w:szCs w:val="26"/>
          <w:u w:val="single"/>
          <w:rtl/>
        </w:rPr>
        <w:t>העובדות הרלוונטיות לענייננו ו</w:t>
      </w:r>
      <w:r>
        <w:rPr>
          <w:rFonts w:ascii="Arial" w:hAnsi="Arial" w:hint="cs"/>
          <w:b/>
          <w:bCs/>
          <w:noProof w:val="0"/>
          <w:sz w:val="26"/>
          <w:szCs w:val="26"/>
          <w:u w:val="single"/>
          <w:rtl/>
        </w:rPr>
        <w:t xml:space="preserve">תמצית </w:t>
      </w:r>
      <w:r>
        <w:rPr>
          <w:rFonts w:ascii="Arial" w:hAnsi="Arial"/>
          <w:b/>
          <w:bCs/>
          <w:noProof w:val="0"/>
          <w:sz w:val="26"/>
          <w:szCs w:val="26"/>
          <w:u w:val="single"/>
          <w:rtl/>
        </w:rPr>
        <w:t>השתלשלות ההליך בבית המשפט קמא</w:t>
      </w:r>
    </w:p>
    <w:p w:rsidR="00A750AE" w:rsidRDefault="00A750AE" w:rsidP="00A750AE">
      <w:pPr>
        <w:pStyle w:val="a4"/>
        <w:spacing w:line="360" w:lineRule="auto"/>
        <w:ind w:left="85"/>
        <w:jc w:val="both"/>
        <w:rPr>
          <w:rFonts w:ascii="Arial" w:hAnsi="Arial"/>
          <w:b/>
          <w:bCs/>
          <w:noProof w:val="0"/>
          <w:u w:val="single"/>
          <w:rtl/>
        </w:rPr>
      </w:pPr>
      <w:r>
        <w:rPr>
          <w:rFonts w:ascii="Arial" w:hAnsi="Arial"/>
          <w:noProof w:val="0"/>
          <w:rtl/>
        </w:rPr>
        <w:t>הצדדים, בני זוג לשעבר, אשר הכירו בשנת 2008 ולימים עברו להתגורר יחדיו. לימים, נכרת ביניהם הסכם שהוכתר כ"הסכם יחסי ממון" ונחתם על ידם ביום 03.12.2010. ההסכם אושר וקיבל תוקף של פסק דין ע"י בית המשפט לענייני משפחה ביום 12.01.2011 (להלן: "</w:t>
      </w:r>
      <w:r>
        <w:rPr>
          <w:rFonts w:ascii="Arial" w:hAnsi="Arial"/>
          <w:b/>
          <w:bCs/>
          <w:noProof w:val="0"/>
          <w:rtl/>
        </w:rPr>
        <w:t>ההסכם</w:t>
      </w:r>
      <w:r>
        <w:rPr>
          <w:rFonts w:ascii="Arial" w:hAnsi="Arial"/>
          <w:noProof w:val="0"/>
          <w:rtl/>
        </w:rPr>
        <w:t xml:space="preserve">"). </w:t>
      </w:r>
    </w:p>
    <w:p w:rsidR="00A750AE" w:rsidRDefault="00A750AE" w:rsidP="00A750AE">
      <w:pPr>
        <w:pStyle w:val="a4"/>
        <w:jc w:val="both"/>
        <w:rPr>
          <w:rFonts w:ascii="Arial" w:hAnsi="Arial"/>
          <w:b/>
          <w:bCs/>
          <w:noProof w:val="0"/>
          <w:u w:val="single"/>
          <w:rtl/>
        </w:rPr>
      </w:pPr>
    </w:p>
    <w:p w:rsidR="00A750AE" w:rsidRDefault="00A750AE" w:rsidP="004915A2">
      <w:pPr>
        <w:pStyle w:val="a4"/>
        <w:spacing w:line="360" w:lineRule="auto"/>
        <w:ind w:left="85"/>
        <w:jc w:val="both"/>
        <w:rPr>
          <w:rFonts w:ascii="Arial" w:hAnsi="Arial"/>
          <w:noProof w:val="0"/>
        </w:rPr>
      </w:pPr>
      <w:r>
        <w:rPr>
          <w:rFonts w:ascii="Arial" w:hAnsi="Arial"/>
          <w:noProof w:val="0"/>
          <w:rtl/>
        </w:rPr>
        <w:t xml:space="preserve">ביום </w:t>
      </w:r>
      <w:r w:rsidR="004915A2">
        <w:rPr>
          <w:rFonts w:ascii="Arial" w:hAnsi="Arial" w:hint="cs"/>
          <w:noProof w:val="0"/>
          <w:rtl/>
        </w:rPr>
        <w:t>....</w:t>
      </w:r>
      <w:r>
        <w:rPr>
          <w:rFonts w:ascii="Arial" w:hAnsi="Arial"/>
          <w:noProof w:val="0"/>
          <w:rtl/>
        </w:rPr>
        <w:t xml:space="preserve"> נישאו הצדדים זה לזו, ומנישואיהם נולדו להם שלושה ילדים, ושלושתם עודם קטינים. </w:t>
      </w:r>
    </w:p>
    <w:p w:rsidR="00A750AE" w:rsidRDefault="00A750AE" w:rsidP="004915A2">
      <w:pPr>
        <w:pStyle w:val="a4"/>
        <w:spacing w:line="360" w:lineRule="auto"/>
        <w:ind w:left="85"/>
        <w:jc w:val="both"/>
        <w:rPr>
          <w:rFonts w:ascii="Arial" w:hAnsi="Arial"/>
          <w:noProof w:val="0"/>
        </w:rPr>
      </w:pPr>
      <w:r>
        <w:rPr>
          <w:rFonts w:ascii="Arial" w:hAnsi="Arial"/>
          <w:noProof w:val="0"/>
          <w:rtl/>
        </w:rPr>
        <w:t xml:space="preserve">המבקש </w:t>
      </w:r>
      <w:r w:rsidR="004915A2">
        <w:rPr>
          <w:rFonts w:ascii="Arial" w:hAnsi="Arial" w:hint="cs"/>
          <w:noProof w:val="0"/>
          <w:rtl/>
        </w:rPr>
        <w:t>...</w:t>
      </w:r>
      <w:r>
        <w:rPr>
          <w:rFonts w:ascii="Arial" w:hAnsi="Arial"/>
          <w:noProof w:val="0"/>
          <w:rtl/>
        </w:rPr>
        <w:t xml:space="preserve"> בהשכלתו ובעל חברה לייעוץ הנדסי, והמשיבה בעלת עסק עצמאי בתחום </w:t>
      </w:r>
      <w:r w:rsidR="004915A2">
        <w:rPr>
          <w:rFonts w:ascii="Arial" w:hAnsi="Arial" w:hint="cs"/>
          <w:noProof w:val="0"/>
          <w:rtl/>
        </w:rPr>
        <w:t>..</w:t>
      </w:r>
      <w:r>
        <w:rPr>
          <w:rFonts w:ascii="Arial" w:hAnsi="Arial"/>
          <w:noProof w:val="0"/>
          <w:rtl/>
        </w:rPr>
        <w:t xml:space="preserve">. </w:t>
      </w:r>
    </w:p>
    <w:p w:rsidR="00A750AE" w:rsidRDefault="00A750AE" w:rsidP="00A750AE">
      <w:pPr>
        <w:pStyle w:val="a4"/>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יחסי הצדדים התערערו ובראשית שנת 2022 נפתחו ההליכים המשפטיים ביניהם עם פניית המשיבה לבית המשפט לענייני משפחה והגשת  תביעות כנגד המבקש שעניינן מזונות הקטינים, האחריות ההורית וזמני השהות של הצדדים עמם ותביעה </w:t>
      </w:r>
      <w:proofErr w:type="spellStart"/>
      <w:r>
        <w:rPr>
          <w:rFonts w:ascii="Arial" w:hAnsi="Arial"/>
          <w:noProof w:val="0"/>
          <w:rtl/>
        </w:rPr>
        <w:t>רכושית</w:t>
      </w:r>
      <w:proofErr w:type="spellEnd"/>
      <w:r>
        <w:rPr>
          <w:rFonts w:ascii="Arial" w:hAnsi="Arial"/>
          <w:noProof w:val="0"/>
          <w:rtl/>
        </w:rPr>
        <w:t xml:space="preserve"> בגדרה עותרת המבקשת </w:t>
      </w:r>
      <w:r>
        <w:rPr>
          <w:rFonts w:ascii="Arial" w:hAnsi="Arial"/>
          <w:noProof w:val="0"/>
          <w:rtl/>
        </w:rPr>
        <w:lastRenderedPageBreak/>
        <w:t>להצהרה על בטלות ההסכם, לאיזון משאבים ולפירוק השיתוף בבית המגורים - במסגרתה ניתנה ההחלטה שבלב דיוננו.</w:t>
      </w:r>
    </w:p>
    <w:p w:rsidR="00A750AE" w:rsidRDefault="00A750AE" w:rsidP="00A750AE">
      <w:pPr>
        <w:pStyle w:val="a4"/>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בתביעה </w:t>
      </w:r>
      <w:proofErr w:type="spellStart"/>
      <w:r>
        <w:rPr>
          <w:rFonts w:ascii="Arial" w:hAnsi="Arial"/>
          <w:noProof w:val="0"/>
          <w:rtl/>
        </w:rPr>
        <w:t>הרכושית</w:t>
      </w:r>
      <w:proofErr w:type="spellEnd"/>
      <w:r>
        <w:rPr>
          <w:rFonts w:ascii="Arial" w:hAnsi="Arial"/>
          <w:noProof w:val="0"/>
          <w:rtl/>
        </w:rPr>
        <w:t xml:space="preserve"> שהוגשה על ידה טוענת המשיבה, בין היתר, כי ההסכם בטל מעיקרו שעה שנחתם בעת שמערכת היחסים בין הצדדים הייתה של בני זוג ידועים בציבור בהעדר כוונה קונקרטית להינשא, וממילא גם לא  ערב נישואיהם או במהלכם. כטענה חלופית נטען על ידה, כי דין ההסכם בטלות מחמת הטעיה מהותית שהטעה אותה המבקש, וכי בכל הנוגע לבית המגורים ביטלו הצדדים את ההסכם בהתנהגות, משנשאו בחלק נכבד מהחזרי המשכנתא שניטלה למימון בנייתו ממקורות משותפים; בהתייחס לחברה נטען, כי ההסכם אינו מחריג אותה ממסת הנכסים בני האיזון. בנוסף עתרה לסעד מכוח סעיף 8(2) לחוק יחסי ממון בין בני זוג, תשל"ג-1973 (להלן: </w:t>
      </w:r>
      <w:r>
        <w:rPr>
          <w:rFonts w:ascii="Arial" w:hAnsi="Arial"/>
          <w:b/>
          <w:bCs/>
          <w:noProof w:val="0"/>
          <w:rtl/>
        </w:rPr>
        <w:t>"חוק יחסי ממון"</w:t>
      </w:r>
      <w:r>
        <w:rPr>
          <w:rFonts w:ascii="Arial" w:hAnsi="Arial"/>
          <w:noProof w:val="0"/>
          <w:rtl/>
        </w:rPr>
        <w:t>).</w:t>
      </w:r>
    </w:p>
    <w:p w:rsidR="00A750AE" w:rsidRDefault="00A750AE" w:rsidP="00A750AE">
      <w:pPr>
        <w:pStyle w:val="a4"/>
        <w:spacing w:line="360" w:lineRule="auto"/>
        <w:ind w:left="85"/>
        <w:jc w:val="both"/>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בכתב ההגנה שהוגש על ידו טוען המבקש, כי בניגוד לטעונת המשיבה, ההסכם נחתם בידי הצדדים כשהוא צופה פני נישואין, ולראיה העובדה שהם נישאו בחלוף כשמונה חודשים לאחר שאושר ע"י בית המשפט. לדידו ההסכם תקף, ואל לו לבית המשפט להתעלם ממנו וליצור מציאות כלכלית השונה מזו שהצדדים ביקשו להסדיר באמצעותו. בנוסף טוען הוא, כי טענות המשיבה לפגמים ברצון שמשמעותם היא בטלות ההסכם נעדרות אחיזה במציאות, ויש לדחותן; כי בהתאם להוראות ההסכם אין למשיבה כל חלק ונחלה בבית המגורים ובחברה, ויש לדחות טענותיה לפיהן הוראות ההסכם אינן חלות על החברה, כמו גם טענותיה בדבר הזכאות לסעד מכוח סעיף 8(2) לחוק יחסי ממון.     </w:t>
      </w:r>
    </w:p>
    <w:p w:rsidR="00A750AE" w:rsidRDefault="00A750AE" w:rsidP="00A750AE">
      <w:pPr>
        <w:pStyle w:val="a4"/>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ביום 15.12.2022 התקיימה ישיבת קדם משפט בשלושת ההליכים האמורים במסגרתה נשמעו טענות הצדדים מפיהם ומפי באות כוחם. בתום הדיון נקבע, כי עיקר המחלוקת בהליך </w:t>
      </w:r>
      <w:proofErr w:type="spellStart"/>
      <w:r>
        <w:rPr>
          <w:rFonts w:ascii="Arial" w:hAnsi="Arial"/>
          <w:noProof w:val="0"/>
          <w:rtl/>
        </w:rPr>
        <w:t>הרכושי</w:t>
      </w:r>
      <w:proofErr w:type="spellEnd"/>
      <w:r>
        <w:rPr>
          <w:rFonts w:ascii="Arial" w:hAnsi="Arial"/>
          <w:noProof w:val="0"/>
          <w:rtl/>
        </w:rPr>
        <w:t xml:space="preserve"> נסוב סביב הזכויות בבית המגורים ובחברה. ככל הנראה על רקע דברים שנשמעו במסגרת הדיון (ואינם מוצאים ביטוי בפרוטוקול), הורה בית המשפט לצדדים להגיש תצהירי רכוש ולהודיע עמדתם בנוגע למינוי מומחים לבירור השאלות שבמחלוקת (שמאי מקרקעין ורואה חשבון), לרבות בשאלת זהות המומחים.</w:t>
      </w:r>
    </w:p>
    <w:p w:rsidR="00A750AE" w:rsidRDefault="00A750AE" w:rsidP="00A750AE">
      <w:pPr>
        <w:pStyle w:val="a4"/>
        <w:spacing w:line="360" w:lineRule="auto"/>
        <w:ind w:left="85"/>
        <w:jc w:val="both"/>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הצדדים התמהמהו בהגשת התצהירים ועמדתם בשאלת מינוי המומחים, ולאחר שקיבלו, כבקשתם, אורכות מספר להגשתם הודיע המבקש בראשית חודש מאי 2023 כי בשים לב להוראות ההסכם ובהעדר הצדקה משפטית למינוי מומחים בשלב בו מצוי היה אז ההליך, הוא מתנגד למינוי מומחים. המשיבה בהודעתה שהוגשה בסמוך להודעת המבקש ציינה, כי לאחר העיון בתצהיר הרכוש של המבקש ונוכח העדרם של מסמכים מהותיים להכרעה במ</w:t>
      </w:r>
      <w:bookmarkStart w:id="1" w:name="_GoBack"/>
      <w:bookmarkEnd w:id="1"/>
      <w:r>
        <w:rPr>
          <w:rFonts w:ascii="Arial" w:hAnsi="Arial"/>
          <w:noProof w:val="0"/>
          <w:rtl/>
        </w:rPr>
        <w:t xml:space="preserve">חלוקת, עותרת היא למינוי מומחה חשבונאי שתהיינה לו סמכויות חקירה בנוגע לחברה, וכי נדרש אף מינוי של שמאי מקרקעין לצורך הערכת שווי בית המגורים (בנפרד משווי הקרקע עליה נבנה), ואף הציעה שמות מספר של מומחים.  </w:t>
      </w:r>
    </w:p>
    <w:p w:rsidR="00A750AE" w:rsidRDefault="00A750AE" w:rsidP="00A750AE">
      <w:pPr>
        <w:pStyle w:val="a4"/>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ביום 03.07.2023 התקיימה ישיבת קדם משפט נוספת בסופה נקבע, כי נחוץ בירור של נתונים שונים בנוגע לבית המגורים ולחברה, ומכאן  גם הצורך במינוי מומחים. לצד זאת ניתנו לצדדים הוראות אופרטיביות בעניין גילוי מסמכים. כן נקבע, כי בהעדר הסכמה בין הצדדים תינתן החלטה בשאלת הצורך במינוי מומחים.</w:t>
      </w: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 </w:t>
      </w:r>
    </w:p>
    <w:p w:rsidR="00A750AE" w:rsidRDefault="00A750AE" w:rsidP="00A750AE">
      <w:pPr>
        <w:pStyle w:val="a4"/>
        <w:spacing w:line="360" w:lineRule="auto"/>
        <w:ind w:left="85"/>
        <w:jc w:val="both"/>
        <w:rPr>
          <w:rFonts w:ascii="Arial" w:hAnsi="Arial"/>
          <w:noProof w:val="0"/>
          <w:rtl/>
        </w:rPr>
      </w:pPr>
      <w:r>
        <w:rPr>
          <w:rFonts w:ascii="Arial" w:hAnsi="Arial"/>
          <w:noProof w:val="0"/>
          <w:rtl/>
        </w:rPr>
        <w:t>ביום 31.03.2024 התקיימה ישיבת קדם משפט נוספת, ובהעדר הסכמה בין הצדדים נקבע, כי החלטה לעניין הרכוש ומינוי המומחים תינתן בהמשך.</w:t>
      </w:r>
    </w:p>
    <w:p w:rsidR="00A750AE" w:rsidRDefault="00A750AE" w:rsidP="00A750AE">
      <w:pPr>
        <w:pStyle w:val="a4"/>
        <w:spacing w:line="360" w:lineRule="auto"/>
        <w:ind w:left="85"/>
        <w:jc w:val="both"/>
        <w:rPr>
          <w:rFonts w:ascii="Arial" w:hAnsi="Arial"/>
          <w:b/>
          <w:bCs/>
          <w:noProof w:val="0"/>
          <w:u w:val="single"/>
          <w:rtl/>
        </w:rPr>
      </w:pPr>
    </w:p>
    <w:p w:rsidR="00A750AE" w:rsidRDefault="00A750AE" w:rsidP="00A750AE">
      <w:pPr>
        <w:pStyle w:val="a4"/>
        <w:spacing w:line="360" w:lineRule="auto"/>
        <w:ind w:left="85"/>
        <w:jc w:val="both"/>
        <w:rPr>
          <w:rFonts w:ascii="Arial" w:hAnsi="Arial"/>
          <w:b/>
          <w:bCs/>
          <w:noProof w:val="0"/>
          <w:u w:val="single"/>
        </w:rPr>
      </w:pPr>
      <w:r>
        <w:rPr>
          <w:rFonts w:ascii="Arial" w:hAnsi="Arial"/>
          <w:b/>
          <w:bCs/>
          <w:noProof w:val="0"/>
          <w:u w:val="single"/>
          <w:rtl/>
        </w:rPr>
        <w:t>ההחלטה מושא בקשת רשות הערעור</w:t>
      </w:r>
    </w:p>
    <w:p w:rsidR="00A750AE" w:rsidRDefault="00A750AE" w:rsidP="00A750AE">
      <w:pPr>
        <w:pStyle w:val="a4"/>
        <w:ind w:left="85"/>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ביום 30.04.2024 ניתנה ההחלטה מושא בקשת רשות הערעור בגדרה נקבע, בין השאר, כי מעיון בטענות הצדדים עולה, שההסכם צופה פני נישואין, אושר כדין והוא בעל תוקף מחייב. </w:t>
      </w:r>
    </w:p>
    <w:p w:rsidR="00A750AE" w:rsidRDefault="00A750AE" w:rsidP="00A750AE">
      <w:pPr>
        <w:pStyle w:val="a4"/>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באשר לבית המגורים נקבע, כי חרף האמור בהסכם, בישיבת קדם המשפט הראשונה העיד המבקש שהמגרש עליו נבנה הבית נרכש באמצעות כספים שהוא קיבל מהוריו, והגם שבמועד הנישואין שלד הבית היה מוכן, בוצע התשלום עבור אותו שלד ועבור בניית הבית עצמו במהלך החיים המשותפים. מכאן הסיק בית המשפט, כי </w:t>
      </w:r>
      <w:r>
        <w:rPr>
          <w:rFonts w:ascii="Arial" w:hAnsi="Arial"/>
          <w:b/>
          <w:bCs/>
          <w:noProof w:val="0"/>
          <w:rtl/>
        </w:rPr>
        <w:t>"..נמצא כי קיימת ראייה לכאורה לכך שהבית עצמו הוא בגדר נכס משותף, ולכן יש מקום למנות מומחה לשם הערכת שוויו"</w:t>
      </w:r>
      <w:r>
        <w:rPr>
          <w:rFonts w:ascii="Arial" w:hAnsi="Arial"/>
          <w:noProof w:val="0"/>
          <w:rtl/>
        </w:rPr>
        <w:t xml:space="preserve">. </w:t>
      </w:r>
    </w:p>
    <w:p w:rsidR="00A750AE" w:rsidRDefault="00A750AE" w:rsidP="00A750AE">
      <w:pPr>
        <w:pStyle w:val="a4"/>
        <w:spacing w:line="360" w:lineRule="auto"/>
        <w:ind w:left="85"/>
        <w:jc w:val="both"/>
        <w:rPr>
          <w:rFonts w:ascii="Arial" w:hAnsi="Arial"/>
          <w:noProof w:val="0"/>
        </w:rPr>
      </w:pPr>
    </w:p>
    <w:p w:rsidR="00A750AE" w:rsidRDefault="00A750AE" w:rsidP="004915A2">
      <w:pPr>
        <w:pStyle w:val="a4"/>
        <w:spacing w:line="360" w:lineRule="auto"/>
        <w:ind w:left="85"/>
        <w:jc w:val="both"/>
        <w:rPr>
          <w:rFonts w:ascii="Arial" w:hAnsi="Arial"/>
          <w:noProof w:val="0"/>
          <w:rtl/>
        </w:rPr>
      </w:pPr>
      <w:r>
        <w:rPr>
          <w:rFonts w:ascii="Arial" w:hAnsi="Arial"/>
          <w:noProof w:val="0"/>
          <w:rtl/>
        </w:rPr>
        <w:t xml:space="preserve">באשר לחברה נקבע, כי מעדויות הצדדים ומתצהיריהם עולה, שבמהלך החיים המשותפים נסגר תיקו של המבקש ברשות המסים כעוסק מורשה, ובחלוף כשנתיים ורבע מנישואי הצדדים נוסדה החברה. כן נקבע, כי הצדדים חלוקים בשאלה האם ישנה זהות באופי העיסוק של המבקש כעוסק מורשה ובין עיסוקה של החברה  אותה ייסד. בתוך כך נקבע, כי טענת המבקש לפיה נוכח הוראות ההסכם השבחת הרכוש הפרטי או החיצוני הוחרגה ממסת הנכסים בני האיזון, אינה רלוונטית ככל שיתברר כי מדובר בעסק המתנהל באופן שונה ביחס לאופן בו התנהל העסק שהיה בבעלות המבקש ערב החתימה על ההסכם ואישורו. מכאן הסיק בית המשפט, כי </w:t>
      </w:r>
      <w:r>
        <w:rPr>
          <w:rFonts w:ascii="Arial" w:hAnsi="Arial"/>
          <w:b/>
          <w:bCs/>
          <w:noProof w:val="0"/>
          <w:rtl/>
        </w:rPr>
        <w:t>"נמצא כי השאלה הרלוונטית היא האם חל שינוי במהות פעילות העסק ל</w:t>
      </w:r>
      <w:r w:rsidR="004915A2">
        <w:rPr>
          <w:rFonts w:ascii="Arial" w:hAnsi="Arial" w:hint="cs"/>
          <w:b/>
          <w:bCs/>
          <w:noProof w:val="0"/>
          <w:rtl/>
        </w:rPr>
        <w:t>...</w:t>
      </w:r>
      <w:r>
        <w:rPr>
          <w:rFonts w:ascii="Arial" w:hAnsi="Arial"/>
          <w:b/>
          <w:bCs/>
          <w:noProof w:val="0"/>
          <w:rtl/>
        </w:rPr>
        <w:t xml:space="preserve"> בין התקופה בה התנהל כעוסק מורשה (עד 18/3/14) לבין התקופה בה התנהל כחברה בע"מ (מיום 19/3/24 ואילך)..."</w:t>
      </w:r>
      <w:r>
        <w:rPr>
          <w:rFonts w:ascii="Arial" w:hAnsi="Arial"/>
          <w:noProof w:val="0"/>
          <w:rtl/>
        </w:rPr>
        <w:t>.</w:t>
      </w:r>
    </w:p>
    <w:p w:rsidR="00A750AE" w:rsidRDefault="00A750AE" w:rsidP="00A750AE">
      <w:pPr>
        <w:pStyle w:val="a4"/>
        <w:spacing w:line="360" w:lineRule="auto"/>
        <w:ind w:left="85"/>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בנוסף נקבע, כי הגם שטענת המשיבה באשר לצורך בבירור מצבה הכלכלי של החברה כדי לעמוד על מצבו הכלכלי של המבקש אגב הדיון בתביעת המזונות הועלתה לראשונה בדיון האחרון, היא רלוונטית ויש להידרש לה, וגם מכאן הצורך במינוי מומחה להערכת שווי החברה.</w:t>
      </w:r>
    </w:p>
    <w:p w:rsidR="00A750AE" w:rsidRDefault="00A750AE" w:rsidP="00A750AE">
      <w:pPr>
        <w:pStyle w:val="a4"/>
        <w:spacing w:line="360" w:lineRule="auto"/>
        <w:ind w:left="85"/>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על יסוד האמור מינה בית המשפט שמאי מקרקעין להערכת שווי בית המגורים בלבד (ללא שווי המגרש שעליו נבנה) ורואה חשבון למתן חוות דעת בשאלת אופי העיסוק של החברה ביחס לעסקו של המבקש אשר נוהל על ידו טרם ייסודה ובשאלת היקף רווחי החברה והכנסות המבקש ממנה נכון למועד בו תוגש של חוות הדעת.  </w:t>
      </w:r>
    </w:p>
    <w:p w:rsidR="00A750AE" w:rsidRDefault="00A750AE" w:rsidP="00A750AE">
      <w:pPr>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המבקש לא השלים עם ההחלטה והגיש הבקשה שלפנינו לקבלת רשות לערער עליה.</w:t>
      </w:r>
    </w:p>
    <w:p w:rsidR="00A750AE" w:rsidRDefault="00A750AE" w:rsidP="00A750AE">
      <w:pPr>
        <w:pStyle w:val="a4"/>
        <w:spacing w:line="360" w:lineRule="auto"/>
        <w:ind w:left="85"/>
        <w:jc w:val="both"/>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לאחר שנתבקשה לעשות כן, הגישה המשיבה התשובה לבקשה, ומכאן החלטה זו. </w:t>
      </w:r>
    </w:p>
    <w:p w:rsidR="00A750AE" w:rsidRDefault="00A750AE" w:rsidP="00A750AE">
      <w:pPr>
        <w:pStyle w:val="a4"/>
        <w:rPr>
          <w:rFonts w:ascii="Arial" w:hAnsi="Arial"/>
          <w:noProof w:val="0"/>
          <w:rtl/>
        </w:rPr>
      </w:pPr>
    </w:p>
    <w:p w:rsidR="00A750AE" w:rsidRDefault="00A750AE" w:rsidP="00A750AE">
      <w:pPr>
        <w:spacing w:line="360" w:lineRule="auto"/>
        <w:jc w:val="both"/>
        <w:rPr>
          <w:rFonts w:ascii="Arial" w:hAnsi="Arial"/>
          <w:b/>
          <w:bCs/>
          <w:noProof w:val="0"/>
          <w:sz w:val="26"/>
          <w:szCs w:val="26"/>
          <w:u w:val="single"/>
          <w:rtl/>
        </w:rPr>
      </w:pPr>
      <w:r>
        <w:rPr>
          <w:rFonts w:ascii="Arial" w:hAnsi="Arial"/>
          <w:b/>
          <w:bCs/>
          <w:noProof w:val="0"/>
          <w:sz w:val="26"/>
          <w:szCs w:val="26"/>
          <w:u w:val="single"/>
          <w:rtl/>
        </w:rPr>
        <w:t xml:space="preserve">תמצית טענות הצדדים  </w:t>
      </w:r>
    </w:p>
    <w:p w:rsidR="00A750AE" w:rsidRDefault="00A750AE" w:rsidP="00A750AE">
      <w:pPr>
        <w:pStyle w:val="a4"/>
        <w:spacing w:line="360" w:lineRule="auto"/>
        <w:ind w:left="85"/>
        <w:jc w:val="both"/>
        <w:rPr>
          <w:rFonts w:ascii="Arial" w:hAnsi="Arial"/>
          <w:noProof w:val="0"/>
        </w:rPr>
      </w:pPr>
      <w:r>
        <w:rPr>
          <w:rFonts w:ascii="Arial" w:hAnsi="Arial"/>
          <w:b/>
          <w:bCs/>
          <w:noProof w:val="0"/>
          <w:u w:val="single"/>
          <w:rtl/>
        </w:rPr>
        <w:t>לטענת המבקש</w:t>
      </w:r>
      <w:r>
        <w:rPr>
          <w:rFonts w:ascii="Arial" w:hAnsi="Arial"/>
          <w:noProof w:val="0"/>
          <w:rtl/>
        </w:rPr>
        <w:t xml:space="preserve">, שגה בית המשפט קמא כאשר החיל את דיני השיתוף הספציפי על בית המגורים, אשר השיתוף בו הוחרג באופן מפורש בהסכם ממון שאושר כדין ובלא שהוראות ההסכם שונו באותו אופן בו אושר כמתחייב בדין. לשיטתו, קבלת הטענה לפיה הסכם הממון שונה בהתנהגות הצדדים עומדת בסתירה להוראות חוק יחסי ממון ועלולה לסכל תכליתו של הסכם ממין זה, שנועדה להבטיח וודאות ויציבות; כן שגה בית המשפט קמא בקבעו, כי ישנה ראיה לכאורה לכך שבית המגורים הוא בגדר נכס משותף, משקביעה זו עומדת בסתירה להוראות ההסכם, ותוך התייחסות לשאלת אופן המימון של בניית הבית; בנוסף, שגה בית המשפט קמא בקבעו, כי יש לדון בשווי עסקו של המבקש, שעה שאף השיתוף בו הוחרג מפורשות בהסכם. לדידו, אין בשינוי צורת ההתאגדות של העסק </w:t>
      </w:r>
      <w:proofErr w:type="spellStart"/>
      <w:r>
        <w:rPr>
          <w:rFonts w:ascii="Arial" w:hAnsi="Arial"/>
          <w:noProof w:val="0"/>
          <w:rtl/>
        </w:rPr>
        <w:t>מעוסק</w:t>
      </w:r>
      <w:proofErr w:type="spellEnd"/>
      <w:r>
        <w:rPr>
          <w:rFonts w:ascii="Arial" w:hAnsi="Arial"/>
          <w:noProof w:val="0"/>
          <w:rtl/>
        </w:rPr>
        <w:t xml:space="preserve"> מורשה לחברה בע"מ כדי להצדיק סטייה מהוראות ההסכם משמהות העסק לא שונתה, ומשאין בהתפתחותו הטבעית של העסק לאורך השנים כדי לסתור עקרון ההפרדה שנקבע בהסכם והחרגת שוויו ממסת הנכסים בני האיזון. בתוך כך נטען על ידו, כי מינוי המומחה לא יספק מענה לפלוגתא שהוגדרה ע"י בית המשפט קמא, והיא האם חל שינוי באופי פעילותו העסקית של המבקש אגב שינוי צורת ההתאגדות של עסקו, משהוא נדרש להעריך שוויה של החברה; כי שגה בית המשפט קמא עת ניסה להכשיר את מינוי המומחה הכלכלי לשם הערכת שווי העסק בקבעו כי הוא רלוונטי גם להליך המזונות; כי כלל המידע והמסמכים שנדרשו ע"י המשיבה בעניין מצבו הכלכלי של המבקש הומצאו לה על ידו בהתאם למתווה שנקבע ע"י בית המשפט וכל ניסיון להרחיב היריעה מעבר לכך אינו אלא ניסיון דיג פסול; לדידו, בית המשפט מנסה לעצב למעשה ההסכם מחדש משיקולים ערכיים, אשר מקומם לא יכירנו; בנסיבות העניין וקיומו של ההסכם, המסלול בו מבקש בית המשפט קמא לנתב ההליך שגוי ועלול להוביל לתוצאות ולמסקנות שגויות, תוך בזבוז זמן שיפוט, הארכת ההליכים שלא לצורך וגרימת עינוי דין, ולכן נדרשת התערבות של ערכאת הערעור כבר בשלב זה.</w:t>
      </w:r>
    </w:p>
    <w:p w:rsidR="00A750AE" w:rsidRDefault="00A750AE" w:rsidP="00A750AE">
      <w:pPr>
        <w:pStyle w:val="a4"/>
        <w:jc w:val="both"/>
        <w:rPr>
          <w:rFonts w:ascii="Arial" w:hAnsi="Arial"/>
          <w:noProof w:val="0"/>
          <w:rtl/>
        </w:rPr>
      </w:pPr>
    </w:p>
    <w:p w:rsidR="00A750AE" w:rsidRDefault="00A750AE" w:rsidP="00A750AE">
      <w:pPr>
        <w:pStyle w:val="a4"/>
        <w:spacing w:line="360" w:lineRule="auto"/>
        <w:ind w:left="85"/>
        <w:jc w:val="both"/>
        <w:rPr>
          <w:rFonts w:ascii="Arial" w:hAnsi="Arial"/>
          <w:noProof w:val="0"/>
        </w:rPr>
      </w:pPr>
      <w:r>
        <w:rPr>
          <w:rFonts w:ascii="Arial" w:hAnsi="Arial"/>
          <w:noProof w:val="0"/>
          <w:rtl/>
        </w:rPr>
        <w:t xml:space="preserve">מנגד, </w:t>
      </w:r>
      <w:r>
        <w:rPr>
          <w:rFonts w:ascii="Arial" w:hAnsi="Arial"/>
          <w:b/>
          <w:bCs/>
          <w:noProof w:val="0"/>
          <w:u w:val="single"/>
          <w:rtl/>
        </w:rPr>
        <w:t>טוענת המשיבה,</w:t>
      </w:r>
      <w:r>
        <w:rPr>
          <w:rFonts w:ascii="Arial" w:hAnsi="Arial"/>
          <w:noProof w:val="0"/>
          <w:rtl/>
        </w:rPr>
        <w:t xml:space="preserve"> כי דין בקשת רשות הערעור להידחות, משמינוי המומחים נחוץ לבירור השאלות שבמחלוקת, ואין בהחלטה מושא בקשת רשות הערעור משום הכרעה בתביעה; כי נפקות ההחלטה היא, למעשה, קבלת מלוא המידע הנחוץ לבית המשפט לשם ההכרעה במחלוקת בין הצדדים, ואין ליטול מידיו האפשרות לעשות כן; כי מימון בית המגורים נעשה ממקורות משותפים; כי לאורך שנות החיים המשותפים נהגו הצדדים בניגוד להוראות ההסכם, ובתוך כך עירב המבקש בין הוצאות העסק והוצאות המשפחה, ומשכך רשאי בית המשפט לקבוע, כי ההסכם שונה בהתנהגות, הגם שמדובר בהסכם ממון; כי התנגדות המבקש למינוי המומחים אינה אלא ניסיון למנוע מבית המשפט להגיע לחקר האמת; כי מינוי המומחה הכלכלי אינו עומד בסתירה להוראות ההסכם, שעה שעסקו של המבקש שינה צורת ההתאגדות שלו ומדובר בישות משפטית אחרת מזו שההסכם מדבר בה, מה גם שאופי עיסוקה שונה; כי ההחלטה למינוי המומחים רלוונטית גם לבירור מצבו הכלכלי </w:t>
      </w:r>
      <w:proofErr w:type="spellStart"/>
      <w:r>
        <w:rPr>
          <w:rFonts w:ascii="Arial" w:hAnsi="Arial"/>
          <w:noProof w:val="0"/>
          <w:rtl/>
        </w:rPr>
        <w:t>האמיתי</w:t>
      </w:r>
      <w:proofErr w:type="spellEnd"/>
      <w:r>
        <w:rPr>
          <w:rFonts w:ascii="Arial" w:hAnsi="Arial"/>
          <w:noProof w:val="0"/>
          <w:rtl/>
        </w:rPr>
        <w:t xml:space="preserve"> של המבקש לצורך ההכרעה בשעת מזונות הקטינים; כי ההסכם אינו תקף, היות שבעת החתימה עליו לא התכוונו הצדדים להינשא זה לזו, ולכן אין ההסכם צופה פני נישואין, ואין בו התייחסות לבית המגורים כי אם למגרש עליו נבנה בלבד, ואף לא לחברה שייסד המבקש במהלך נישואי הצדדים, כי אם לעסק שהיה ברשותו ערב החתימה על ההסכם בהיותו עוסק מורשה. מכאן שלא נפלה טעות בהחלטת בית המשפט קמא, ואין כל מקום להתערב בה. </w:t>
      </w:r>
    </w:p>
    <w:p w:rsidR="00A750AE" w:rsidRDefault="00A750AE" w:rsidP="00A750AE">
      <w:pPr>
        <w:pStyle w:val="a4"/>
        <w:ind w:left="85"/>
        <w:rPr>
          <w:rFonts w:ascii="Arial" w:hAnsi="Arial"/>
          <w:noProof w:val="0"/>
        </w:rPr>
      </w:pPr>
    </w:p>
    <w:p w:rsidR="00A750AE" w:rsidRDefault="00A750AE" w:rsidP="00A750AE">
      <w:pPr>
        <w:spacing w:line="360" w:lineRule="auto"/>
        <w:jc w:val="both"/>
        <w:rPr>
          <w:rFonts w:ascii="Arial" w:hAnsi="Arial"/>
          <w:b/>
          <w:bCs/>
          <w:noProof w:val="0"/>
          <w:sz w:val="26"/>
          <w:szCs w:val="26"/>
          <w:u w:val="single"/>
        </w:rPr>
      </w:pPr>
      <w:r>
        <w:rPr>
          <w:rFonts w:ascii="Arial" w:hAnsi="Arial"/>
          <w:b/>
          <w:bCs/>
          <w:noProof w:val="0"/>
          <w:sz w:val="26"/>
          <w:szCs w:val="26"/>
          <w:u w:val="single"/>
          <w:rtl/>
        </w:rPr>
        <w:t>דיון והכרעה</w:t>
      </w:r>
    </w:p>
    <w:p w:rsidR="00A750AE" w:rsidRDefault="00A750AE" w:rsidP="00A750AE">
      <w:pPr>
        <w:rPr>
          <w:rtl/>
        </w:rPr>
      </w:pPr>
    </w:p>
    <w:p w:rsidR="00A750AE" w:rsidRDefault="00A750AE" w:rsidP="00A750AE">
      <w:pPr>
        <w:pStyle w:val="a4"/>
        <w:spacing w:line="360" w:lineRule="auto"/>
        <w:ind w:left="85"/>
        <w:jc w:val="both"/>
        <w:rPr>
          <w:rFonts w:ascii="Arial" w:hAnsi="Arial"/>
          <w:b/>
          <w:bCs/>
          <w:noProof w:val="0"/>
        </w:rPr>
      </w:pPr>
      <w:r>
        <w:rPr>
          <w:rFonts w:ascii="Arial" w:hAnsi="Arial"/>
          <w:b/>
          <w:bCs/>
          <w:noProof w:val="0"/>
          <w:rtl/>
        </w:rPr>
        <w:t xml:space="preserve">על יסוד תקנה 138(א)(5) לתקנות סדר הדין האזרחי, תשע"ט-2018 ולאחר עיון באשר מונח לפניי ובתיק המתנהל בבית המשפט קמא, באתי לכלל מסקנה, כי דין בקשת רשות להידחות מהנימוקים שיובאו להלן. </w:t>
      </w:r>
    </w:p>
    <w:p w:rsidR="00A750AE" w:rsidRDefault="00A750AE" w:rsidP="00A750AE">
      <w:pPr>
        <w:pStyle w:val="a4"/>
        <w:jc w:val="both"/>
        <w:rPr>
          <w:rFonts w:ascii="Arial" w:hAnsi="Arial"/>
          <w:b/>
          <w:bCs/>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מהוראת סעיף 52(ב) לחוק בתי המשפט [נוסח משולב], התשמ"ד-1984</w:t>
      </w:r>
      <w:r>
        <w:rPr>
          <w:rFonts w:ascii="Arial" w:hAnsi="Arial"/>
          <w:b/>
          <w:bCs/>
          <w:noProof w:val="0"/>
          <w:rtl/>
        </w:rPr>
        <w:t xml:space="preserve"> </w:t>
      </w:r>
      <w:r>
        <w:rPr>
          <w:rFonts w:ascii="Arial" w:hAnsi="Arial"/>
          <w:noProof w:val="0"/>
          <w:rtl/>
        </w:rPr>
        <w:t>ומהפסיקה העוסקת בו עולה, כי</w:t>
      </w:r>
      <w:r>
        <w:rPr>
          <w:rFonts w:ascii="Arial" w:hAnsi="Arial"/>
          <w:b/>
          <w:bCs/>
          <w:noProof w:val="0"/>
          <w:rtl/>
        </w:rPr>
        <w:t xml:space="preserve"> </w:t>
      </w:r>
      <w:r>
        <w:rPr>
          <w:rFonts w:ascii="Arial" w:hAnsi="Arial"/>
          <w:noProof w:val="0"/>
          <w:rtl/>
        </w:rPr>
        <w:t>על</w:t>
      </w:r>
      <w:r>
        <w:rPr>
          <w:rFonts w:ascii="Arial" w:hAnsi="Arial"/>
          <w:b/>
          <w:bCs/>
          <w:noProof w:val="0"/>
          <w:rtl/>
        </w:rPr>
        <w:t xml:space="preserve"> </w:t>
      </w:r>
      <w:r>
        <w:rPr>
          <w:rFonts w:ascii="Arial" w:hAnsi="Arial"/>
          <w:noProof w:val="0"/>
          <w:rtl/>
        </w:rPr>
        <w:t xml:space="preserve">דרך הכלל, לא בנקל תתערב ערכאת הערעור בהחלטות ביניים של הערכאה הדיונית, ותעשה כן  במקרים חריגים בהם הימנעות מהתערבות בשלב מוקדם יותר משלב הדיון בערעור על פסק הדין עלולה להסב נזק בלתי הפיך למי מבעלי הדין או להביא לניהול הליך מיותר או בדרך שגויה [ראו והשוו: רע"א 5715/21 </w:t>
      </w:r>
      <w:proofErr w:type="spellStart"/>
      <w:r>
        <w:rPr>
          <w:rFonts w:ascii="Arial" w:hAnsi="Arial"/>
          <w:b/>
          <w:bCs/>
          <w:noProof w:val="0"/>
          <w:rtl/>
        </w:rPr>
        <w:t>אפרופים</w:t>
      </w:r>
      <w:proofErr w:type="spellEnd"/>
      <w:r>
        <w:rPr>
          <w:rFonts w:ascii="Arial" w:hAnsi="Arial"/>
          <w:b/>
          <w:bCs/>
          <w:noProof w:val="0"/>
          <w:rtl/>
        </w:rPr>
        <w:t xml:space="preserve"> שיכון וייזום (1991) בע"מ (בפירוק) נ' מדינת ישראל – משרד הבינוי והשיכון</w:t>
      </w:r>
      <w:r>
        <w:rPr>
          <w:rFonts w:ascii="Arial" w:hAnsi="Arial"/>
          <w:noProof w:val="0"/>
          <w:rtl/>
        </w:rPr>
        <w:t xml:space="preserve">, פורסם במאגרים האלקטרוניים; רע"א 872/20 </w:t>
      </w:r>
      <w:r>
        <w:rPr>
          <w:rFonts w:ascii="Arial" w:hAnsi="Arial"/>
          <w:b/>
          <w:bCs/>
          <w:noProof w:val="0"/>
          <w:rtl/>
        </w:rPr>
        <w:t>עיריית נהריה נ' ג.א. מהנדסי הצפון בע"מ,</w:t>
      </w:r>
      <w:r>
        <w:rPr>
          <w:rFonts w:ascii="Arial" w:hAnsi="Arial"/>
          <w:noProof w:val="0"/>
          <w:rtl/>
        </w:rPr>
        <w:t xml:space="preserve"> פורסם במאגרים האלקטרוניים].</w:t>
      </w:r>
    </w:p>
    <w:p w:rsidR="00A750AE" w:rsidRDefault="00A750AE" w:rsidP="00A750AE">
      <w:pPr>
        <w:pStyle w:val="a4"/>
        <w:rPr>
          <w:rFonts w:ascii="Arial" w:hAnsi="Arial"/>
          <w:noProof w:val="0"/>
        </w:rPr>
      </w:pPr>
    </w:p>
    <w:p w:rsidR="00A750AE" w:rsidRDefault="00A750AE" w:rsidP="00A750AE">
      <w:pPr>
        <w:pStyle w:val="a4"/>
        <w:spacing w:line="360" w:lineRule="auto"/>
        <w:ind w:left="85"/>
        <w:jc w:val="both"/>
        <w:rPr>
          <w:rFonts w:ascii="Arial" w:hAnsi="Arial"/>
          <w:noProof w:val="0"/>
        </w:rPr>
      </w:pPr>
      <w:r>
        <w:rPr>
          <w:rFonts w:ascii="Arial" w:hAnsi="Arial"/>
          <w:noProof w:val="0"/>
          <w:rtl/>
        </w:rPr>
        <w:t xml:space="preserve">הוא הדין ואף ביתר שאת בהתייחס להחלטות ביניים הנושאות אופי דיוני-ניהולי, ונוגעות לאופן ניהול ההליך ולסדרי הדין [ראו: בע"מ 7257/18 </w:t>
      </w:r>
      <w:r>
        <w:rPr>
          <w:rFonts w:ascii="Arial" w:hAnsi="Arial"/>
          <w:b/>
          <w:bCs/>
          <w:noProof w:val="0"/>
          <w:rtl/>
        </w:rPr>
        <w:t>פלוני נ' פלונית</w:t>
      </w:r>
      <w:r>
        <w:rPr>
          <w:rFonts w:ascii="Arial" w:hAnsi="Arial"/>
          <w:noProof w:val="0"/>
          <w:rtl/>
        </w:rPr>
        <w:t xml:space="preserve">, פורסם במאגרים האלקטרוניים; ח' בן נון ו-ט' חבקין </w:t>
      </w:r>
      <w:r>
        <w:rPr>
          <w:rFonts w:ascii="Arial" w:hAnsi="Arial"/>
          <w:b/>
          <w:bCs/>
          <w:noProof w:val="0"/>
          <w:rtl/>
        </w:rPr>
        <w:t>הערעור האזרחי</w:t>
      </w:r>
      <w:r>
        <w:rPr>
          <w:rFonts w:ascii="Arial" w:hAnsi="Arial"/>
          <w:noProof w:val="0"/>
          <w:rtl/>
        </w:rPr>
        <w:t xml:space="preserve"> (מהדורה 3, 2012) 203]. </w:t>
      </w:r>
    </w:p>
    <w:p w:rsidR="00A750AE" w:rsidRDefault="00A750AE" w:rsidP="00A750AE">
      <w:pPr>
        <w:pStyle w:val="a4"/>
        <w:spacing w:line="360" w:lineRule="auto"/>
        <w:ind w:left="85"/>
        <w:jc w:val="both"/>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ודוק, החלטות דיוניות נטועות בלבת שיקול הדעת של הערכאה המבררת, ושיקול הדעת המסור בידה רחב. מטעם זה וכעניין שבמדיניות שיפוטית, ממעטת ערכאת הערעור להתערב בהחלטות ממין אלו ובשיקול דעתה של הערכאה </w:t>
      </w:r>
      <w:proofErr w:type="spellStart"/>
      <w:r>
        <w:rPr>
          <w:rFonts w:ascii="Arial" w:hAnsi="Arial"/>
          <w:noProof w:val="0"/>
          <w:rtl/>
        </w:rPr>
        <w:t>דלמטה</w:t>
      </w:r>
      <w:proofErr w:type="spellEnd"/>
      <w:r>
        <w:rPr>
          <w:rFonts w:ascii="Arial" w:hAnsi="Arial"/>
          <w:noProof w:val="0"/>
          <w:rtl/>
        </w:rPr>
        <w:t>, והתערבותה בהן שמורה למקרים חריגים בלבד, כאמור.</w:t>
      </w:r>
    </w:p>
    <w:p w:rsidR="00A750AE" w:rsidRDefault="00A750AE" w:rsidP="00A750AE">
      <w:pPr>
        <w:spacing w:line="360" w:lineRule="auto"/>
        <w:ind w:left="85"/>
        <w:jc w:val="both"/>
        <w:rPr>
          <w:rFonts w:ascii="David" w:hAnsi="David"/>
          <w:noProof w:val="0"/>
          <w:rtl/>
        </w:rPr>
      </w:pPr>
      <w:r>
        <w:rPr>
          <w:rFonts w:ascii="David" w:hAnsi="David"/>
          <w:noProof w:val="0"/>
          <w:rtl/>
        </w:rPr>
        <w:t xml:space="preserve">[ראו לעניין זה: רע"א 1377/21 </w:t>
      </w:r>
      <w:r>
        <w:rPr>
          <w:rFonts w:ascii="David" w:hAnsi="David"/>
          <w:b/>
          <w:bCs/>
          <w:noProof w:val="0"/>
          <w:rtl/>
        </w:rPr>
        <w:t>סיאט כרמל סחר יבוא וייצוא בע"מ נ' אורית פלד</w:t>
      </w:r>
      <w:r>
        <w:rPr>
          <w:rFonts w:ascii="David" w:hAnsi="David"/>
          <w:noProof w:val="0"/>
          <w:rtl/>
        </w:rPr>
        <w:t xml:space="preserve">, פורסם במאגרים האלקטרוניים; רע"א 1396/18 </w:t>
      </w:r>
      <w:r>
        <w:rPr>
          <w:rFonts w:ascii="David" w:hAnsi="David"/>
          <w:b/>
          <w:bCs/>
          <w:noProof w:val="0"/>
          <w:rtl/>
        </w:rPr>
        <w:t xml:space="preserve">פלוני נ' בנק דיסקונט להשקעות, </w:t>
      </w:r>
      <w:r>
        <w:rPr>
          <w:rFonts w:ascii="David" w:hAnsi="David"/>
          <w:noProof w:val="0"/>
          <w:rtl/>
        </w:rPr>
        <w:t xml:space="preserve">פורסם במאגרים האלקטרוניים; בע"מ 7275/18 </w:t>
      </w:r>
      <w:r>
        <w:rPr>
          <w:rFonts w:ascii="David" w:hAnsi="David"/>
          <w:b/>
          <w:bCs/>
          <w:noProof w:val="0"/>
          <w:rtl/>
        </w:rPr>
        <w:t>פלוני נ' פלונית</w:t>
      </w:r>
      <w:r>
        <w:rPr>
          <w:rFonts w:ascii="David" w:hAnsi="David"/>
          <w:noProof w:val="0"/>
          <w:rtl/>
        </w:rPr>
        <w:t xml:space="preserve">, פורסם במאגרים האלקטרוניים]. </w:t>
      </w:r>
    </w:p>
    <w:p w:rsidR="00A750AE" w:rsidRDefault="00A750AE" w:rsidP="00A750AE">
      <w:pPr>
        <w:pStyle w:val="a4"/>
        <w:rPr>
          <w:rFonts w:ascii="Arial" w:hAnsi="Arial"/>
          <w:noProof w:val="0"/>
          <w:rtl/>
        </w:rPr>
      </w:pPr>
    </w:p>
    <w:p w:rsidR="00A750AE" w:rsidRDefault="00A750AE" w:rsidP="00A750AE">
      <w:pPr>
        <w:pStyle w:val="a4"/>
        <w:spacing w:line="360" w:lineRule="auto"/>
        <w:ind w:left="85"/>
        <w:jc w:val="both"/>
        <w:rPr>
          <w:rFonts w:ascii="Arial" w:hAnsi="Arial"/>
          <w:noProof w:val="0"/>
        </w:rPr>
      </w:pPr>
      <w:r>
        <w:rPr>
          <w:rFonts w:ascii="Arial" w:hAnsi="Arial"/>
          <w:noProof w:val="0"/>
          <w:rtl/>
        </w:rPr>
        <w:t xml:space="preserve">החלטה בעניין מינוי מומחה היא החלטה דיונית מובהקת, לגביה שב בית המשפט העליון וקובע, כי </w:t>
      </w:r>
      <w:r>
        <w:rPr>
          <w:rFonts w:ascii="Arial" w:hAnsi="Arial"/>
          <w:b/>
          <w:bCs/>
          <w:noProof w:val="0"/>
          <w:rtl/>
        </w:rPr>
        <w:t xml:space="preserve"> "הלכה ידועה היא, כי לערכאה הדיונית מסור שיקול דעת רחב בכל הנוגע לסדרי הדין ולאופן ניהול ההליך המשפטי, לרבות החלטות שעוסקות במינוי מומחים מטעם בית המשפט. ערכאת הערעור אינה נוטה להתערב בשיקול דעתה של הערכאה הדיונית בעניינים אלו, אלא במקרים חריגים בלבד"</w:t>
      </w:r>
      <w:r>
        <w:rPr>
          <w:rFonts w:ascii="Arial" w:hAnsi="Arial"/>
          <w:noProof w:val="0"/>
          <w:rtl/>
        </w:rPr>
        <w:t xml:space="preserve"> [רע"א 251/22 </w:t>
      </w:r>
      <w:r>
        <w:rPr>
          <w:rFonts w:ascii="Arial" w:hAnsi="Arial"/>
          <w:b/>
          <w:bCs/>
          <w:noProof w:val="0"/>
          <w:rtl/>
        </w:rPr>
        <w:t xml:space="preserve">חברת נמל אשדוד נ' מפעלי ים המלח, </w:t>
      </w:r>
      <w:r>
        <w:rPr>
          <w:rFonts w:ascii="Arial" w:hAnsi="Arial"/>
          <w:noProof w:val="0"/>
          <w:rtl/>
        </w:rPr>
        <w:t xml:space="preserve">פורסם במאגרים האלקטרוניים (23.1.22)]. </w:t>
      </w:r>
    </w:p>
    <w:p w:rsidR="00A750AE" w:rsidRDefault="00A750AE" w:rsidP="00A750AE">
      <w:pPr>
        <w:pStyle w:val="a4"/>
        <w:ind w:left="85"/>
        <w:jc w:val="both"/>
        <w:rPr>
          <w:rFonts w:ascii="Arial" w:hAnsi="Arial"/>
          <w:noProof w:val="0"/>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ב-רע"א 7863/17 </w:t>
      </w:r>
      <w:r>
        <w:rPr>
          <w:rFonts w:ascii="Arial" w:hAnsi="Arial"/>
          <w:b/>
          <w:bCs/>
          <w:noProof w:val="0"/>
          <w:rtl/>
        </w:rPr>
        <w:t xml:space="preserve">פלונית  נ' הפול חברה לביטוח בע"מ </w:t>
      </w:r>
      <w:r>
        <w:rPr>
          <w:rFonts w:ascii="Arial" w:hAnsi="Arial"/>
          <w:noProof w:val="0"/>
          <w:rtl/>
        </w:rPr>
        <w:t>(פורסם במאגרים האלקטרוניים)</w:t>
      </w:r>
      <w:r>
        <w:rPr>
          <w:rFonts w:ascii="Arial" w:hAnsi="Arial"/>
          <w:b/>
          <w:bCs/>
          <w:noProof w:val="0"/>
          <w:rtl/>
        </w:rPr>
        <w:t xml:space="preserve">, </w:t>
      </w:r>
      <w:r>
        <w:rPr>
          <w:rFonts w:ascii="Arial" w:hAnsi="Arial"/>
          <w:noProof w:val="0"/>
          <w:rtl/>
        </w:rPr>
        <w:t xml:space="preserve">נקבע ע"י בית המשפט העליון לאמור: </w:t>
      </w:r>
    </w:p>
    <w:p w:rsidR="00A750AE" w:rsidRDefault="00A750AE" w:rsidP="00A750AE">
      <w:pPr>
        <w:pStyle w:val="a4"/>
        <w:spacing w:line="360" w:lineRule="auto"/>
        <w:ind w:left="85"/>
        <w:jc w:val="both"/>
        <w:rPr>
          <w:rFonts w:ascii="Arial" w:hAnsi="Arial"/>
          <w:b/>
          <w:bCs/>
          <w:noProof w:val="0"/>
        </w:rPr>
      </w:pPr>
      <w:r>
        <w:rPr>
          <w:rFonts w:ascii="Arial" w:hAnsi="Arial"/>
          <w:b/>
          <w:bCs/>
          <w:noProof w:val="0"/>
          <w:rtl/>
        </w:rPr>
        <w:t>"אמנם אין המשמעות שלעד תמנע ערכאת הערעור מלהתערב בהחלטת הערכאה הדיונית למנות מומחה נוסף, אך ברי כי התערבות כזו תהא רק במקרים מיוחדים בהם ההחלטה אינה מתיישבת עם חומר הראיות או עם שורת הצדק והגיונם של הדברים...הלכה מושרשת היא כי אין ערכאת הערעור נוהגת להתערב בהחלטות ביניים של הערכאה הדיונית הנוגדות לסדרי דין... ובכלל זה בעניינים הקשורים למינוי מומחים...".</w:t>
      </w:r>
    </w:p>
    <w:p w:rsidR="00A750AE" w:rsidRDefault="00A750AE" w:rsidP="00A750AE">
      <w:pPr>
        <w:ind w:left="85"/>
        <w:jc w:val="both"/>
        <w:rPr>
          <w:rFonts w:ascii="Arial" w:hAnsi="Arial"/>
          <w:b/>
          <w:bCs/>
          <w:noProof w:val="0"/>
        </w:rPr>
      </w:pPr>
    </w:p>
    <w:p w:rsidR="00A750AE" w:rsidRDefault="00A750AE" w:rsidP="00A750AE">
      <w:pPr>
        <w:spacing w:line="360" w:lineRule="auto"/>
        <w:ind w:left="85"/>
        <w:jc w:val="both"/>
        <w:rPr>
          <w:rFonts w:ascii="Arial" w:hAnsi="Arial"/>
          <w:noProof w:val="0"/>
        </w:rPr>
      </w:pPr>
      <w:r>
        <w:rPr>
          <w:rFonts w:ascii="Arial" w:hAnsi="Arial"/>
          <w:noProof w:val="0"/>
          <w:rtl/>
        </w:rPr>
        <w:t>גם בית המשפט המחוזי בת"א (כב' השופט שוחט) נדרש לכך ב-</w:t>
      </w:r>
      <w:proofErr w:type="spellStart"/>
      <w:r>
        <w:rPr>
          <w:rFonts w:ascii="Arial" w:hAnsi="Arial"/>
          <w:noProof w:val="0"/>
          <w:rtl/>
        </w:rPr>
        <w:t>רמ"ש</w:t>
      </w:r>
      <w:proofErr w:type="spellEnd"/>
      <w:r>
        <w:rPr>
          <w:rFonts w:ascii="Arial" w:hAnsi="Arial"/>
          <w:noProof w:val="0"/>
          <w:rtl/>
        </w:rPr>
        <w:t xml:space="preserve"> 22594-08-17 </w:t>
      </w:r>
      <w:r>
        <w:rPr>
          <w:rFonts w:ascii="Arial" w:hAnsi="Arial"/>
          <w:b/>
          <w:bCs/>
          <w:noProof w:val="0"/>
          <w:rtl/>
        </w:rPr>
        <w:t xml:space="preserve">א.נ. נ' </w:t>
      </w:r>
      <w:proofErr w:type="spellStart"/>
      <w:r>
        <w:rPr>
          <w:rFonts w:ascii="Arial" w:hAnsi="Arial"/>
          <w:b/>
          <w:bCs/>
          <w:noProof w:val="0"/>
          <w:rtl/>
        </w:rPr>
        <w:t>ר.ב</w:t>
      </w:r>
      <w:proofErr w:type="spellEnd"/>
      <w:r>
        <w:rPr>
          <w:rFonts w:ascii="Arial" w:hAnsi="Arial"/>
          <w:b/>
          <w:bCs/>
          <w:noProof w:val="0"/>
          <w:rtl/>
        </w:rPr>
        <w:t xml:space="preserve">. </w:t>
      </w:r>
      <w:r>
        <w:rPr>
          <w:noProof w:val="0"/>
          <w:sz w:val="22"/>
          <w:rtl/>
        </w:rPr>
        <w:t>(פורסם במאגרים האלקטרוניים), וכך נקבע על ידו</w:t>
      </w:r>
      <w:r>
        <w:rPr>
          <w:rFonts w:ascii="Arial" w:hAnsi="Arial"/>
          <w:noProof w:val="0"/>
          <w:rtl/>
        </w:rPr>
        <w:t xml:space="preserve">: </w:t>
      </w:r>
    </w:p>
    <w:p w:rsidR="00A750AE" w:rsidRDefault="00A750AE" w:rsidP="00A750AE">
      <w:pPr>
        <w:spacing w:line="360" w:lineRule="auto"/>
        <w:ind w:left="85"/>
        <w:jc w:val="both"/>
        <w:rPr>
          <w:rFonts w:ascii="Arial" w:hAnsi="Arial"/>
          <w:noProof w:val="0"/>
          <w:rtl/>
        </w:rPr>
      </w:pPr>
      <w:r>
        <w:rPr>
          <w:rFonts w:ascii="Arial" w:hAnsi="Arial"/>
          <w:b/>
          <w:bCs/>
          <w:noProof w:val="0"/>
          <w:rtl/>
        </w:rPr>
        <w:t xml:space="preserve">"... הלכה היא, כי אין ערכאת הערעור נוטה להתערב בהחלטותיה של הערכאה הדיונית שעניינן סדרי דין וניהול הליכים, אפילו סבורה היא שראוי היה להחליט על דרך דיונית אחרת, אלא אם ההחלטה נוגדת את הדין, יוצרת עיוות דין או מקפחת את זכותו של אחד הצדדים". </w:t>
      </w:r>
    </w:p>
    <w:p w:rsidR="00A750AE" w:rsidRDefault="00A750AE" w:rsidP="00A750AE">
      <w:pPr>
        <w:pStyle w:val="a4"/>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בענייננו, מכתבי הטענות של הצדדים בבית המשפט קמא עולה, כי הם חלוקים בשאלת תקפו של ההסכם, ולמחלוקת זו שני ראשים: האחד עניינו טיב ההסכם והשאלה האם בשעת החתימה עליו הוא צפה פני נישואיהם של הצדדים, אם לאו; והשני עניינו שאלת קיומם של פגמים ברצון אשר הובילו לכריתת ההסכם, אם לאו. </w:t>
      </w:r>
    </w:p>
    <w:p w:rsidR="00A750AE" w:rsidRDefault="00A750AE" w:rsidP="00A750AE">
      <w:pPr>
        <w:pStyle w:val="a4"/>
        <w:spacing w:line="360" w:lineRule="auto"/>
        <w:ind w:left="85"/>
        <w:jc w:val="both"/>
        <w:rPr>
          <w:rFonts w:ascii="Arial" w:hAnsi="Arial"/>
          <w:noProof w:val="0"/>
        </w:rPr>
      </w:pPr>
      <w:r>
        <w:rPr>
          <w:rFonts w:ascii="Arial" w:hAnsi="Arial"/>
          <w:noProof w:val="0"/>
          <w:rtl/>
        </w:rPr>
        <w:t xml:space="preserve"> </w:t>
      </w:r>
    </w:p>
    <w:p w:rsidR="00A750AE" w:rsidRDefault="00A750AE" w:rsidP="00A750AE">
      <w:pPr>
        <w:pStyle w:val="a4"/>
        <w:spacing w:line="360" w:lineRule="auto"/>
        <w:ind w:left="85"/>
        <w:jc w:val="both"/>
        <w:rPr>
          <w:rFonts w:ascii="Arial" w:hAnsi="Arial"/>
          <w:noProof w:val="0"/>
        </w:rPr>
      </w:pPr>
      <w:r>
        <w:rPr>
          <w:rFonts w:ascii="Arial" w:hAnsi="Arial"/>
          <w:noProof w:val="0"/>
          <w:rtl/>
        </w:rPr>
        <w:t>בהחלטה מושא בקשת רשות הערעור מציין אמנם בית המשפט, כי ההסכם צופה פני נישואין, ומשאושר כדין הוא בעל תוקף מחייב, וזאת על סמך כתבי הטענות של הצדדים בלבד.</w:t>
      </w:r>
    </w:p>
    <w:p w:rsidR="00A750AE" w:rsidRDefault="00A750AE" w:rsidP="00A750AE">
      <w:pPr>
        <w:pStyle w:val="a4"/>
        <w:spacing w:line="360" w:lineRule="auto"/>
        <w:ind w:left="85"/>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לצד זאת ונוכח המחלוקת הנטושה בין הצדדים, לא מצא לחתום בכך הדיון בתובענה, משנראה, כי למצער, חלוקים הם בשאלת פרשנות ההסכם.</w:t>
      </w:r>
    </w:p>
    <w:p w:rsidR="00A750AE" w:rsidRDefault="00A750AE" w:rsidP="00A750AE">
      <w:pPr>
        <w:pStyle w:val="a4"/>
        <w:spacing w:line="360" w:lineRule="auto"/>
        <w:ind w:left="85"/>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יתר על כן, הצדדים מציגים גרסאות עובדתיות שונות, הן בנוגע לאופן המימון של בניית בית המגורים, הן בנוגע להתנהלותם הכלכלית לאורך השנים והן בנוגע לאופי עסקו של המבקש לפני ואחרי השינוי בצורת ההתאגדות שלו. </w:t>
      </w:r>
    </w:p>
    <w:p w:rsidR="00A750AE" w:rsidRDefault="00A750AE" w:rsidP="00A750AE">
      <w:pPr>
        <w:pStyle w:val="a4"/>
        <w:spacing w:line="360" w:lineRule="auto"/>
        <w:ind w:left="85"/>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שאלות אלו טעונות בירור והכרעה, ובית המשפט מצא, כי לצורך ההכרעה בהליך המתנהל לפניו, נדרש מינוי של מומחים. אכן, אין בכך כדי לחרוץ גורל התביעה, כי אם התוויית הדרך בה בוחרת הערכאה הדיונית לנהל ההליך שלפניה ולהכריע במחלוקות העולות מתוכו. </w:t>
      </w:r>
    </w:p>
    <w:p w:rsidR="00A750AE" w:rsidRDefault="00A750AE" w:rsidP="00A750AE">
      <w:pPr>
        <w:pStyle w:val="a4"/>
        <w:spacing w:line="360" w:lineRule="auto"/>
        <w:ind w:left="85"/>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אמנם בית המשפט מציין, כי מכל אשר הובא לפניו עולה, שיש ראיה לכאורה לכך שבית המגורים הוא בגדר נכס משותף, אך גם בכך אין משום הכרעה בתובענה ומכל מקום, ומבלי להביע עמדה בהתייחס לקביעה זו, עניין לנו, כידוע, בהחלטת ביניים, שניתן לערער עליה במסגרת ערעור על פסק הדין שיינתן בבוא היום, ככל שמי מהצדדים יבקש להשיג עליו. </w:t>
      </w:r>
    </w:p>
    <w:p w:rsidR="00A750AE" w:rsidRDefault="00A750AE" w:rsidP="00A750AE">
      <w:pPr>
        <w:pStyle w:val="a4"/>
        <w:spacing w:line="360" w:lineRule="auto"/>
        <w:ind w:left="85"/>
        <w:jc w:val="both"/>
        <w:rPr>
          <w:rFonts w:ascii="Arial" w:hAnsi="Arial"/>
          <w:noProof w:val="0"/>
          <w:rtl/>
        </w:rPr>
      </w:pPr>
    </w:p>
    <w:p w:rsidR="00A750AE" w:rsidRDefault="00A750AE" w:rsidP="00A750AE">
      <w:pPr>
        <w:spacing w:line="360" w:lineRule="auto"/>
        <w:ind w:left="84"/>
        <w:jc w:val="both"/>
        <w:rPr>
          <w:rFonts w:ascii="Arial" w:hAnsi="Arial"/>
          <w:noProof w:val="0"/>
          <w:rtl/>
        </w:rPr>
      </w:pPr>
      <w:r>
        <w:rPr>
          <w:rFonts w:ascii="Arial" w:hAnsi="Arial"/>
          <w:noProof w:val="0"/>
          <w:rtl/>
        </w:rPr>
        <w:t xml:space="preserve">הנה כי כן, עניין לנו בהחלטה דיונית- ניהולית טיפוסית של הערכאה המבררת, למינוי מומחים שיחוו דעתם בנושאים שהוגדרו על ידה, אשר ניתנה לאחר שלוש ישיבות קדם משפט, במסגרתן גם נשמעו הצדדים עצמם, על יסוד התרשמותה הבלתי אמצעית מן הצדדים ואף לאחר שהוגשו על ידם תצהירים, ולא שוכנעתי, כי נסיבות המקרה דנא באות בגדר החריג לכלל אי ההתערבות של ערכאת הערעור בהחלטות ממין אלו, באשר פורטו לעיל. </w:t>
      </w:r>
    </w:p>
    <w:p w:rsidR="00A750AE" w:rsidRDefault="00A750AE" w:rsidP="00A750AE">
      <w:pPr>
        <w:spacing w:line="360" w:lineRule="auto"/>
        <w:jc w:val="both"/>
        <w:rPr>
          <w:rFonts w:ascii="Arial" w:hAnsi="Arial"/>
          <w:noProof w:val="0"/>
          <w:rtl/>
        </w:rPr>
      </w:pPr>
    </w:p>
    <w:p w:rsidR="00A750AE" w:rsidRDefault="00A750AE" w:rsidP="004915A2">
      <w:pPr>
        <w:spacing w:line="360" w:lineRule="auto"/>
        <w:ind w:left="84"/>
        <w:jc w:val="both"/>
        <w:rPr>
          <w:rFonts w:ascii="Arial" w:hAnsi="Arial"/>
          <w:noProof w:val="0"/>
          <w:rtl/>
        </w:rPr>
      </w:pPr>
      <w:r>
        <w:rPr>
          <w:rFonts w:ascii="Arial" w:hAnsi="Arial"/>
          <w:noProof w:val="0"/>
          <w:rtl/>
        </w:rPr>
        <w:t xml:space="preserve">לא נעלמו מעיניי טענות הצדדים בעניין הנמקת בית המשפט באשר לצורך במינוי המומחה הכלכלי, וקשור גם לבירור תביעת המזונות. בנידון </w:t>
      </w:r>
      <w:proofErr w:type="spellStart"/>
      <w:r>
        <w:rPr>
          <w:rFonts w:ascii="Arial" w:hAnsi="Arial"/>
          <w:noProof w:val="0"/>
          <w:rtl/>
        </w:rPr>
        <w:t>דידן</w:t>
      </w:r>
      <w:proofErr w:type="spellEnd"/>
      <w:r>
        <w:rPr>
          <w:rFonts w:ascii="Arial" w:hAnsi="Arial"/>
          <w:noProof w:val="0"/>
          <w:rtl/>
        </w:rPr>
        <w:t xml:space="preserve"> יאמר, כי משעניין לנו בהליכים המתנהלים בבית המשפט לענייני משפחה - ערכאה ייחודית-מקצועית, אשר על פי הדין הישראלי פורשת כנפיה על כלל הקונפליקטים שהתעוררו במשפחה אחת והובאו לפתחה של מערכת המשפט, והם מתבררים בפני מותב אחד המשקיף עליהם ממעוף הציפור ובקי בכל נגזרות הסכסוך המשפחתי ופרטיו, לא מצאתי, כי קביעת בית המשפט קמא באשר לצורך בקבלת תמונה מלאה הנוגעת למצבו הכלכלי של המבקש מידי מומחה לדבר איננה לגיטימית או שיש בה השחתת זמן ומשאבים או משום גרימת עוול למי מן הצדדים. מכל מקום, אין בעובדה שהחלטה אשר ניתנה בהליך רכושי רלוונטית גם להליך המזונות, </w:t>
      </w:r>
      <w:r w:rsidR="004915A2">
        <w:rPr>
          <w:rFonts w:ascii="Arial" w:hAnsi="Arial" w:hint="cs"/>
          <w:noProof w:val="0"/>
          <w:rtl/>
        </w:rPr>
        <w:t>של</w:t>
      </w:r>
      <w:r>
        <w:rPr>
          <w:rFonts w:ascii="Arial" w:hAnsi="Arial"/>
          <w:noProof w:val="0"/>
          <w:rtl/>
        </w:rPr>
        <w:t>כל היותר מדלגת מעל משוכת הפרוצדורה והפורמליות, כדי לשמוט הקרקע תחת הלגיטימיות שלה, ו-וודאי שאין בה משום חריגה מסמכות בית המשפט.</w:t>
      </w:r>
    </w:p>
    <w:p w:rsidR="00A750AE" w:rsidRDefault="00A750AE" w:rsidP="00A750AE">
      <w:pPr>
        <w:spacing w:line="360" w:lineRule="auto"/>
        <w:jc w:val="both"/>
        <w:rPr>
          <w:rFonts w:ascii="Arial" w:hAnsi="Arial"/>
          <w:noProof w:val="0"/>
          <w:rtl/>
        </w:rPr>
      </w:pPr>
    </w:p>
    <w:p w:rsidR="00A750AE" w:rsidRDefault="00A750AE" w:rsidP="00A750AE">
      <w:pPr>
        <w:spacing w:line="360" w:lineRule="auto"/>
        <w:ind w:left="84"/>
        <w:jc w:val="both"/>
        <w:rPr>
          <w:rFonts w:ascii="Arial" w:hAnsi="Arial"/>
          <w:noProof w:val="0"/>
          <w:rtl/>
        </w:rPr>
      </w:pPr>
      <w:r>
        <w:rPr>
          <w:rFonts w:ascii="Arial" w:hAnsi="Arial"/>
          <w:noProof w:val="0"/>
          <w:rtl/>
        </w:rPr>
        <w:t>כאמור, במסגרת הפררוגטיבה של בית המשפט קמא לניהול ההליכים המשפטיים שבין הצדדים שלפנינו מסור בידיו שיקול הדעת לקבוע האם נדרשת חוות דעת של מומחה כזה או אחר, ובהתאם גם למנות מומחה מטעמו. הדברים מקבלים משנה תוקף עת עסקינן בבית משפט לענייני משפחה, אשר מעצם טיבו, מהותו והיקף סמכותו העניינית, חוות דעת של מומחים מתחומים שונים הן חלק בלתי נפרד מארגז הכלים שברשותו, נעשה בהן שימוש תדיר, ולא בכדי סוגיה זו מוצאת ביטוי ומוסדרת בחקיקה הראשית (סעיף 8 (ג) לחוק בית המשפט לענייני משפחה, תשנ"ה-1995) ובחקיקת המשנה (תקנה  25 לתקנות בית המשפט לענייני משפחה (סדרי דין),  תשפ"א-2020), אשר מגדירות סמכותו, סדרי העבודה שלו וסדרי הדין החלים בו.</w:t>
      </w:r>
    </w:p>
    <w:p w:rsidR="00A750AE" w:rsidRDefault="00A750AE" w:rsidP="00A750AE">
      <w:pPr>
        <w:spacing w:line="360" w:lineRule="auto"/>
        <w:ind w:left="84"/>
        <w:jc w:val="both"/>
        <w:rPr>
          <w:rFonts w:ascii="Arial" w:hAnsi="Arial"/>
          <w:noProof w:val="0"/>
          <w:rtl/>
        </w:rPr>
      </w:pPr>
    </w:p>
    <w:p w:rsidR="00A750AE" w:rsidRDefault="00A750AE" w:rsidP="00A750AE">
      <w:pPr>
        <w:spacing w:line="360" w:lineRule="auto"/>
        <w:ind w:left="84"/>
        <w:jc w:val="both"/>
        <w:rPr>
          <w:rFonts w:ascii="Arial" w:hAnsi="Arial"/>
          <w:noProof w:val="0"/>
          <w:rtl/>
        </w:rPr>
      </w:pPr>
      <w:r>
        <w:rPr>
          <w:rFonts w:ascii="Arial" w:hAnsi="Arial"/>
          <w:noProof w:val="0"/>
          <w:rtl/>
        </w:rPr>
        <w:t xml:space="preserve">הנה כי כן ובנסיבות המקרה דנא, אין מקום להתערבות ערכאת הערעור בהחלטה למינוי מומחים.  </w:t>
      </w:r>
    </w:p>
    <w:p w:rsidR="00A750AE" w:rsidRDefault="00A750AE" w:rsidP="00A750AE">
      <w:pPr>
        <w:pStyle w:val="a4"/>
        <w:spacing w:line="360" w:lineRule="auto"/>
        <w:jc w:val="both"/>
        <w:rPr>
          <w:rFonts w:ascii="Arial" w:hAnsi="Arial"/>
          <w:noProof w:val="0"/>
          <w:rtl/>
        </w:rPr>
      </w:pPr>
    </w:p>
    <w:p w:rsidR="00A750AE" w:rsidRDefault="00A750AE" w:rsidP="00A750AE">
      <w:pPr>
        <w:pStyle w:val="a4"/>
        <w:spacing w:line="360" w:lineRule="auto"/>
        <w:ind w:left="85"/>
        <w:jc w:val="both"/>
        <w:rPr>
          <w:rFonts w:ascii="Arial" w:hAnsi="Arial"/>
          <w:noProof w:val="0"/>
          <w:rtl/>
        </w:rPr>
      </w:pPr>
      <w:r>
        <w:rPr>
          <w:rFonts w:ascii="Arial" w:hAnsi="Arial"/>
          <w:noProof w:val="0"/>
          <w:rtl/>
        </w:rPr>
        <w:t xml:space="preserve">בשולי הדברים יצוין, וזאת מבלי להביע עמדה בהתייחס לטענות הצדדים או לטעת מסמרות בסוגיה זו, כי מבלי להקל ראש, ולו במעט מחשיבותם של עקרון הוודאות והיציבות, אשר הסכמי ממון נועדו להבטיח ואף לא במעמדה של זכות הקניין, ואין צורך להכביר מלים בדבר, בית המשפט העליון (כב' השופט י. עמית) העיר באחד מפסקי הדין שניתנו על ידו ועוסק בהלכות השיתוף הספציפי, כי אף שעריכת הסכם ממון יכולה לשמש אינדיקציה לכוונת הצדדים להפריד רכושם, אין בכך כדי לשלול באופן גורף החלתה של כוונת שיתוף כל אימת שנערך הסכם ממון בין בני זוג, ויש לבחון כל מקרה בהתאם לנסיבותיו [ראו והשוו: בג"צ 7900/22 </w:t>
      </w:r>
      <w:r>
        <w:rPr>
          <w:rFonts w:ascii="Arial" w:hAnsi="Arial"/>
          <w:b/>
          <w:bCs/>
          <w:noProof w:val="0"/>
          <w:rtl/>
        </w:rPr>
        <w:t xml:space="preserve">פלונית נ' בית הדין הרבני הגדול ואח', </w:t>
      </w:r>
      <w:r>
        <w:rPr>
          <w:rFonts w:ascii="Arial" w:hAnsi="Arial"/>
          <w:noProof w:val="0"/>
          <w:rtl/>
        </w:rPr>
        <w:t xml:space="preserve">פורסם במאגרים האלקטרוניים (29.06.2023)]. יוער, כי באותו מקרה נאמרו הדברים כהערת אגב, תוך דחיית העתירה.  </w:t>
      </w:r>
    </w:p>
    <w:p w:rsidR="00A750AE" w:rsidRDefault="00A750AE" w:rsidP="00A750AE">
      <w:pPr>
        <w:pStyle w:val="a4"/>
        <w:spacing w:line="360" w:lineRule="auto"/>
        <w:ind w:left="-57"/>
        <w:jc w:val="both"/>
        <w:rPr>
          <w:rFonts w:ascii="Arial" w:hAnsi="Arial"/>
          <w:noProof w:val="0"/>
          <w:rtl/>
        </w:rPr>
      </w:pPr>
    </w:p>
    <w:p w:rsidR="00A750AE" w:rsidRDefault="00A750AE" w:rsidP="00A750AE">
      <w:pPr>
        <w:pStyle w:val="a4"/>
        <w:spacing w:line="360" w:lineRule="auto"/>
        <w:ind w:left="84"/>
        <w:jc w:val="both"/>
        <w:rPr>
          <w:rFonts w:ascii="Arial" w:hAnsi="Arial"/>
          <w:noProof w:val="0"/>
          <w:rtl/>
        </w:rPr>
      </w:pPr>
      <w:r>
        <w:rPr>
          <w:rFonts w:ascii="Arial" w:hAnsi="Arial"/>
          <w:noProof w:val="0"/>
          <w:rtl/>
        </w:rPr>
        <w:t xml:space="preserve">למען הסר ספק יובהר, כי דברים אחרונים אלה הם בבחינת הערת אגב, כמובן, ואין באמור משום הבעת עמדה באשר לתוצאות ההליך קמא, עת ממילא הוא עומד בפני בירור, וטעון, כאמור, גם קביעת ממצאים עובדתיים ע"י הערכאה הדיונית, נוכח טענות הצדדים וטיב המחלוקת הנטושה ביניהם. </w:t>
      </w:r>
    </w:p>
    <w:p w:rsidR="00A750AE" w:rsidRDefault="00A750AE" w:rsidP="00A750AE">
      <w:pPr>
        <w:pStyle w:val="a4"/>
        <w:spacing w:line="360" w:lineRule="auto"/>
        <w:ind w:left="-57"/>
        <w:jc w:val="both"/>
        <w:rPr>
          <w:rFonts w:ascii="Arial" w:hAnsi="Arial"/>
          <w:noProof w:val="0"/>
          <w:rtl/>
        </w:rPr>
      </w:pPr>
    </w:p>
    <w:p w:rsidR="00A750AE" w:rsidRDefault="00A750AE" w:rsidP="00A750AE">
      <w:pPr>
        <w:pStyle w:val="a4"/>
        <w:spacing w:line="360" w:lineRule="auto"/>
        <w:ind w:left="84"/>
        <w:jc w:val="both"/>
        <w:rPr>
          <w:rFonts w:ascii="Arial" w:hAnsi="Arial"/>
          <w:noProof w:val="0"/>
          <w:rtl/>
        </w:rPr>
      </w:pPr>
      <w:r>
        <w:rPr>
          <w:rFonts w:ascii="Arial" w:hAnsi="Arial"/>
          <w:noProof w:val="0"/>
          <w:rtl/>
        </w:rPr>
        <w:t xml:space="preserve">על יסוד כל האמור לעיל, בקשת רשות הערעור נדחית  בזאת.  </w:t>
      </w:r>
    </w:p>
    <w:p w:rsidR="00A750AE" w:rsidRDefault="00A750AE" w:rsidP="00A750AE">
      <w:pPr>
        <w:pStyle w:val="a4"/>
        <w:ind w:left="84"/>
        <w:rPr>
          <w:rFonts w:ascii="Arial" w:hAnsi="Arial"/>
          <w:noProof w:val="0"/>
          <w:rtl/>
        </w:rPr>
      </w:pPr>
    </w:p>
    <w:p w:rsidR="00A750AE" w:rsidRDefault="00A750AE" w:rsidP="00A750AE">
      <w:pPr>
        <w:pStyle w:val="a4"/>
        <w:spacing w:line="360" w:lineRule="auto"/>
        <w:ind w:left="84"/>
        <w:jc w:val="both"/>
        <w:rPr>
          <w:rFonts w:ascii="David" w:hAnsi="David"/>
          <w:noProof w:val="0"/>
          <w:rtl/>
        </w:rPr>
      </w:pPr>
      <w:r>
        <w:rPr>
          <w:rFonts w:ascii="David" w:hAnsi="David"/>
          <w:noProof w:val="0"/>
          <w:rtl/>
        </w:rPr>
        <w:t xml:space="preserve">המבקש יישא בהוצאות המשיבה בסך 3,500 ₪ מתוך העירבון שהופקד על ידו בהליך. היתרה על פירותיה תושב לידיו באמצעות באת-כוחו.  </w:t>
      </w:r>
    </w:p>
    <w:p w:rsidR="00A750AE" w:rsidRDefault="00A750AE" w:rsidP="00A750AE">
      <w:pPr>
        <w:ind w:left="84"/>
        <w:jc w:val="both"/>
        <w:rPr>
          <w:rFonts w:ascii="David" w:hAnsi="David"/>
          <w:noProof w:val="0"/>
        </w:rPr>
      </w:pPr>
    </w:p>
    <w:p w:rsidR="00A750AE" w:rsidRDefault="00A750AE" w:rsidP="00A750AE">
      <w:pPr>
        <w:pStyle w:val="a4"/>
        <w:spacing w:line="360" w:lineRule="auto"/>
        <w:ind w:left="84"/>
        <w:jc w:val="both"/>
        <w:rPr>
          <w:rFonts w:ascii="Arial" w:hAnsi="Arial"/>
          <w:noProof w:val="0"/>
          <w:rtl/>
        </w:rPr>
      </w:pPr>
    </w:p>
    <w:p w:rsidR="00A750AE" w:rsidRDefault="00A750AE" w:rsidP="00A750AE">
      <w:pPr>
        <w:pStyle w:val="a4"/>
        <w:spacing w:line="360" w:lineRule="auto"/>
        <w:ind w:left="84"/>
        <w:jc w:val="both"/>
        <w:rPr>
          <w:rFonts w:ascii="Arial" w:hAnsi="Arial"/>
          <w:noProof w:val="0"/>
          <w:rtl/>
        </w:rPr>
      </w:pPr>
    </w:p>
    <w:p w:rsidR="00A750AE" w:rsidRDefault="00A750AE" w:rsidP="00A750AE">
      <w:pPr>
        <w:pStyle w:val="a4"/>
        <w:spacing w:line="360" w:lineRule="auto"/>
        <w:ind w:left="84"/>
        <w:jc w:val="both"/>
        <w:rPr>
          <w:rFonts w:ascii="Arial" w:hAnsi="Arial"/>
          <w:noProof w:val="0"/>
          <w:rtl/>
        </w:rPr>
      </w:pPr>
    </w:p>
    <w:p w:rsidR="00A750AE" w:rsidRDefault="00A750AE" w:rsidP="00A750AE">
      <w:pPr>
        <w:pStyle w:val="a4"/>
        <w:spacing w:line="360" w:lineRule="auto"/>
        <w:ind w:left="84"/>
        <w:jc w:val="both"/>
        <w:rPr>
          <w:rFonts w:ascii="Arial" w:hAnsi="Arial"/>
          <w:noProof w:val="0"/>
          <w:rtl/>
        </w:rPr>
      </w:pPr>
      <w:r>
        <w:rPr>
          <w:rFonts w:ascii="Arial" w:hAnsi="Arial"/>
          <w:noProof w:val="0"/>
          <w:rtl/>
        </w:rPr>
        <w:t xml:space="preserve">המזכירות תמציא ההחלטה לצדדים. </w:t>
      </w:r>
    </w:p>
    <w:p w:rsidR="00A750AE" w:rsidRDefault="00A750AE" w:rsidP="00A750AE">
      <w:pPr>
        <w:pStyle w:val="a4"/>
        <w:rPr>
          <w:rFonts w:ascii="Arial" w:hAnsi="Arial"/>
          <w:noProof w:val="0"/>
        </w:rPr>
      </w:pPr>
    </w:p>
    <w:p w:rsidR="00A750AE" w:rsidRDefault="00A750AE" w:rsidP="00A750AE">
      <w:pPr>
        <w:spacing w:line="360" w:lineRule="auto"/>
        <w:jc w:val="both"/>
        <w:rPr>
          <w:rFonts w:ascii="Arial" w:hAnsi="Arial"/>
          <w:noProof w:val="0"/>
        </w:rPr>
      </w:pPr>
      <w:r>
        <w:rPr>
          <w:rFonts w:ascii="David" w:hAnsi="David"/>
          <w:noProof w:val="0"/>
          <w:rtl/>
        </w:rPr>
        <w:t xml:space="preserve"> </w:t>
      </w:r>
      <w:r>
        <w:rPr>
          <w:rFonts w:ascii="David" w:hAnsi="David" w:hint="cs"/>
          <w:noProof w:val="0"/>
          <w:rtl/>
        </w:rPr>
        <w:t>ההחלטה ניתנת לפרסום בהיעדר שמות הצדדים ופרטים מזהים נוספים.</w:t>
      </w:r>
    </w:p>
    <w:p w:rsidR="00A750AE" w:rsidRDefault="00A750AE" w:rsidP="00A750AE">
      <w:pPr>
        <w:spacing w:line="360" w:lineRule="auto"/>
        <w:jc w:val="both"/>
        <w:rPr>
          <w:rFonts w:ascii="Arial" w:hAnsi="Arial"/>
          <w:noProof w:val="0"/>
          <w:rtl/>
        </w:rPr>
      </w:pPr>
    </w:p>
    <w:p w:rsidR="00A750AE" w:rsidRPr="00B95D6E" w:rsidRDefault="00A750AE" w:rsidP="00A750AE">
      <w:pPr>
        <w:spacing w:line="360" w:lineRule="auto"/>
        <w:jc w:val="both"/>
        <w:rPr>
          <w:rFonts w:ascii="Arial" w:hAnsi="Arial"/>
          <w:noProof w:val="0"/>
          <w:rtl/>
        </w:rPr>
      </w:pPr>
    </w:p>
    <w:p w:rsidR="00A750AE" w:rsidRPr="00B95D6E" w:rsidRDefault="00A750AE" w:rsidP="00A750AE">
      <w:pPr>
        <w:spacing w:line="360" w:lineRule="auto"/>
        <w:jc w:val="both"/>
        <w:rPr>
          <w:rFonts w:ascii="Arial" w:hAnsi="Arial"/>
          <w:noProof w:val="0"/>
          <w:rtl/>
        </w:rPr>
      </w:pPr>
    </w:p>
    <w:p w:rsidR="00A750AE" w:rsidRDefault="00A750AE" w:rsidP="00A750AE">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אלול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ספטמבר 2024</w:t>
          </w:r>
        </w:sdtContent>
      </w:sdt>
      <w:r>
        <w:rPr>
          <w:rFonts w:ascii="Arial" w:hAnsi="Arial"/>
          <w:noProof w:val="0"/>
          <w:rtl/>
        </w:rPr>
        <w:t>, בהעדר הצדדים.</w:t>
      </w: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rPr>
          <w:rtl/>
        </w:rPr>
      </w:pPr>
    </w:p>
    <w:p w:rsidR="00A750AE" w:rsidRDefault="00A750AE" w:rsidP="00A750AE">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26094254"/>
        </w:sdtPr>
        <w:sdtEndPr/>
        <w:sdtContent>
          <w:r>
            <w:drawing>
              <wp:inline distT="0" distB="0" distL="0" distR="0" wp14:anchorId="67380F92" wp14:editId="6CBA4614">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66875" cy="1047750"/>
                        </a:xfrm>
                        <a:prstGeom prst="rect">
                          <a:avLst/>
                        </a:prstGeom>
                      </pic:spPr>
                    </pic:pic>
                  </a:graphicData>
                </a:graphic>
              </wp:inline>
            </w:drawing>
          </w:r>
        </w:sdtContent>
      </w:sdt>
    </w:p>
    <w:p w:rsidR="00A750AE" w:rsidRDefault="00A750AE" w:rsidP="00A750AE">
      <w:pPr>
        <w:tabs>
          <w:tab w:val="left" w:pos="2553"/>
        </w:tabs>
        <w:rPr>
          <w:rFonts w:ascii="Arial" w:hAnsi="Arial"/>
          <w:noProof w:val="0"/>
          <w:rtl/>
        </w:rPr>
      </w:pPr>
    </w:p>
    <w:p w:rsidR="004A7D16" w:rsidRDefault="004A7D16"/>
    <w:sectPr w:rsidR="004A7D16"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0AE"/>
    <w:rsid w:val="004915A2"/>
    <w:rsid w:val="004A7D16"/>
    <w:rsid w:val="00821706"/>
    <w:rsid w:val="00897C85"/>
    <w:rsid w:val="00A750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8868FF-862B-4019-B27A-12974D72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0A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50A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A750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50EB6E39FF4D748BB70E43369A97A9"/>
        <w:category>
          <w:name w:val="כללי"/>
          <w:gallery w:val="placeholder"/>
        </w:category>
        <w:types>
          <w:type w:val="bbPlcHdr"/>
        </w:types>
        <w:behaviors>
          <w:behavior w:val="content"/>
        </w:behaviors>
        <w:guid w:val="{AD3764FE-526D-4837-BB93-9F5523D215AD}"/>
      </w:docPartPr>
      <w:docPartBody>
        <w:p w:rsidR="00F26ABE" w:rsidRDefault="00141364" w:rsidP="00141364">
          <w:pPr>
            <w:pStyle w:val="0E50EB6E39FF4D748BB70E43369A97A9"/>
          </w:pPr>
          <w:r>
            <w:rPr>
              <w:rFonts w:ascii="Arial" w:hAnsi="Arial"/>
              <w:b/>
              <w:bCs/>
              <w:sz w:val="26"/>
              <w:szCs w:val="26"/>
              <w:rtl/>
            </w:rPr>
            <w:t>שם צד א' ללא שם של חסוי</w:t>
          </w:r>
        </w:p>
      </w:docPartBody>
    </w:docPart>
    <w:docPart>
      <w:docPartPr>
        <w:name w:val="CE58051DBD7842968A217DA2195CBA70"/>
        <w:category>
          <w:name w:val="כללי"/>
          <w:gallery w:val="placeholder"/>
        </w:category>
        <w:types>
          <w:type w:val="bbPlcHdr"/>
        </w:types>
        <w:behaviors>
          <w:behavior w:val="content"/>
        </w:behaviors>
        <w:guid w:val="{6BC5C6E6-3274-442B-BF2B-95AF4C22C1A4}"/>
      </w:docPartPr>
      <w:docPartBody>
        <w:p w:rsidR="00F26ABE" w:rsidRDefault="00141364" w:rsidP="00141364">
          <w:pPr>
            <w:pStyle w:val="CE58051DBD7842968A217DA2195CBA70"/>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364"/>
    <w:rsid w:val="00141364"/>
    <w:rsid w:val="00D05E36"/>
    <w:rsid w:val="00F26ABE"/>
    <w:rsid w:val="00FB6EF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E50EB6E39FF4D748BB70E43369A97A9">
    <w:name w:val="0E50EB6E39FF4D748BB70E43369A97A9"/>
    <w:rsid w:val="00141364"/>
    <w:pPr>
      <w:bidi/>
    </w:pPr>
  </w:style>
  <w:style w:type="paragraph" w:customStyle="1" w:styleId="CE58051DBD7842968A217DA2195CBA70">
    <w:name w:val="CE58051DBD7842968A217DA2195CBA70"/>
    <w:rsid w:val="00141364"/>
    <w:pPr>
      <w:bidi/>
    </w:pPr>
  </w:style>
  <w:style w:type="paragraph" w:customStyle="1" w:styleId="6E675EDAF60B4E82B5D722F2F3F53E16">
    <w:name w:val="6E675EDAF60B4E82B5D722F2F3F53E16"/>
    <w:rsid w:val="0014136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2673</Words>
  <Characters>13368</Characters>
  <Application>Microsoft Office Word</Application>
  <DocSecurity>0</DocSecurity>
  <Lines>111</Lines>
  <Paragraphs>32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נעמה שחר</cp:lastModifiedBy>
  <cp:revision>2</cp:revision>
  <dcterms:created xsi:type="dcterms:W3CDTF">2024-10-06T07:55:00Z</dcterms:created>
  <dcterms:modified xsi:type="dcterms:W3CDTF">2024-10-06T07:55:00Z</dcterms:modified>
</cp:coreProperties>
</file>